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F2" w:rsidRDefault="005821F2">
      <w:pPr>
        <w:pStyle w:val="Sinespaciado"/>
        <w:rPr>
          <w:rFonts w:eastAsiaTheme="minorHAnsi"/>
          <w:sz w:val="2"/>
          <w:lang w:eastAsia="en-US"/>
        </w:rPr>
      </w:pPr>
      <w:r>
        <w:rPr>
          <w:rFonts w:eastAsiaTheme="minorHAnsi"/>
          <w:sz w:val="2"/>
          <w:lang w:eastAsia="en-US"/>
        </w:rPr>
        <w:t xml:space="preserve"> </w:t>
      </w:r>
    </w:p>
    <w:sdt>
      <w:sdtPr>
        <w:rPr>
          <w:rFonts w:eastAsiaTheme="minorHAnsi"/>
          <w:sz w:val="2"/>
          <w:lang w:eastAsia="en-US"/>
        </w:rPr>
        <w:id w:val="1504626881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975149" w:rsidRDefault="00975149">
          <w:pPr>
            <w:pStyle w:val="Sinespaciado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238125</wp:posOffset>
                    </wp:positionH>
                    <wp:positionV relativeFrom="margin">
                      <wp:posOffset>-4445</wp:posOffset>
                    </wp:positionV>
                    <wp:extent cx="7410450" cy="914400"/>
                    <wp:effectExtent l="0" t="0" r="0" b="1905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104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56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Cs w:val="68"/>
                                  </w:rPr>
                                </w:sdtEndPr>
                                <w:sdtContent>
                                  <w:p w:rsidR="006C6343" w:rsidRPr="007843E4" w:rsidRDefault="006C6343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68"/>
                                      </w:rPr>
                                    </w:pPr>
                                    <w:r w:rsidRPr="007843E4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6"/>
                                        <w:szCs w:val="64"/>
                                      </w:rPr>
                                      <w:t>Días de Terapia Antimicrobiana (dot) del hospital infantil del estado de sonora (enero-abril 2025)</w:t>
                                    </w:r>
                                  </w:p>
                                </w:sdtContent>
                              </w:sdt>
                              <w:p w:rsidR="006C6343" w:rsidRPr="007843E4" w:rsidRDefault="006C6343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2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2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7843E4"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>Oncología Pediátrica, Unidad de Cuidados Intensivos Pediátricos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 xml:space="preserve"> (UCIP)</w:t>
                                    </w:r>
                                    <w:r w:rsidRPr="007843E4"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>, Unidad de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 xml:space="preserve"> Cuidados Intensivos Neonatales (UCIN) </w:t>
                                    </w:r>
                                    <w:r w:rsidRPr="007843E4"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>y Terapia Intermedia Neonatal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 xml:space="preserve"> (UTIN)</w:t>
                                    </w:r>
                                    <w:r w:rsidRPr="007843E4">
                                      <w:rPr>
                                        <w:color w:val="5B9BD5" w:themeColor="accent1"/>
                                        <w:sz w:val="32"/>
                                        <w:szCs w:val="3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Pr="007843E4">
                                  <w:rPr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6C6343" w:rsidRDefault="006C63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18.75pt;margin-top:-.35pt;width:583.5pt;height:1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56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Cs w:val="68"/>
                            </w:rPr>
                          </w:sdtEndPr>
                          <w:sdtContent>
                            <w:p w:rsidR="006C6343" w:rsidRPr="007843E4" w:rsidRDefault="006C6343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68"/>
                                </w:rPr>
                              </w:pPr>
                              <w:r w:rsidRPr="007843E4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6"/>
                                  <w:szCs w:val="64"/>
                                </w:rPr>
                                <w:t>Días de Terapia Antimicrobiana (dot) del hospital infantil del estado de sonora (enero-abril 2025)</w:t>
                              </w:r>
                            </w:p>
                          </w:sdtContent>
                        </w:sdt>
                        <w:p w:rsidR="006C6343" w:rsidRPr="007843E4" w:rsidRDefault="006C6343">
                          <w:pPr>
                            <w:pStyle w:val="Sinespaciado"/>
                            <w:spacing w:before="120"/>
                            <w:rPr>
                              <w:color w:val="5B9BD5" w:themeColor="accent1"/>
                              <w:sz w:val="32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2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7843E4"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>Oncología Pediátrica, Unidad de Cuidados Intensivos Pediátricos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 xml:space="preserve"> (UCIP)</w:t>
                              </w:r>
                              <w:r w:rsidRPr="007843E4"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>, Unidad de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 xml:space="preserve"> Cuidados Intensivos Neonatales (UCIN) </w:t>
                              </w:r>
                              <w:r w:rsidRPr="007843E4"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>y Terapia Intermedia Neonatal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 xml:space="preserve"> (UTIN)</w:t>
                              </w:r>
                              <w:r w:rsidRPr="007843E4">
                                <w:rPr>
                                  <w:color w:val="5B9BD5" w:themeColor="accent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</w:sdtContent>
                          </w:sdt>
                          <w:r w:rsidRPr="007843E4">
                            <w:rPr>
                              <w:sz w:val="20"/>
                              <w:lang w:val="es-ES"/>
                            </w:rPr>
                            <w:t xml:space="preserve"> </w:t>
                          </w:r>
                        </w:p>
                        <w:p w:rsidR="006C6343" w:rsidRDefault="006C634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975149" w:rsidRDefault="00975149">
          <w:r>
            <w:rPr>
              <w:noProof/>
              <w:color w:val="5B9BD5" w:themeColor="accent1"/>
              <w:sz w:val="36"/>
              <w:szCs w:val="36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A98FF8E" id="Grupo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343" w:rsidRDefault="006C6343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Q.B.C. Elia Hernandez Zapata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28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:rsidR="006C6343" w:rsidRDefault="006C634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28"/>
                                        <w:szCs w:val="36"/>
                                      </w:rPr>
                                      <w:t xml:space="preserve">Encargada del Procesamiento y Monitoreo de datos del Subcomité para la optimización del Uso de Antimicrobianos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6C6343" w:rsidRDefault="006C6343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Q.B.C. Elia Hernandez Zapata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28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:rsidR="006C6343" w:rsidRDefault="006C6343">
                              <w:pPr>
                                <w:pStyle w:val="Sinespaciado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8"/>
                                  <w:szCs w:val="36"/>
                                </w:rPr>
                                <w:t xml:space="preserve">Encargada del Procesamiento y Monitoreo de datos del Subcomité para la optimización del Uso de Antimicrobianos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975149" w:rsidRDefault="00975149">
          <w: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es-ES"/>
        </w:rPr>
        <w:id w:val="-1288495356"/>
        <w:docPartObj>
          <w:docPartGallery w:val="Table of Contents"/>
          <w:docPartUnique/>
        </w:docPartObj>
      </w:sdtPr>
      <w:sdtContent>
        <w:p w:rsidR="008761C8" w:rsidRDefault="008761C8">
          <w:pPr>
            <w:pStyle w:val="TtulodeTDC"/>
            <w:rPr>
              <w:lang w:val="es-ES"/>
            </w:rPr>
          </w:pPr>
          <w:r>
            <w:rPr>
              <w:lang w:val="es-ES"/>
            </w:rPr>
            <w:t>Índice</w:t>
          </w:r>
        </w:p>
        <w:p w:rsidR="0004634F" w:rsidRPr="0004634F" w:rsidRDefault="0004634F" w:rsidP="0004634F">
          <w:pPr>
            <w:pStyle w:val="TDC1"/>
          </w:pPr>
          <w:r>
            <w:rPr>
              <w:b/>
              <w:bCs/>
            </w:rPr>
            <w:t>Glosario</w:t>
          </w:r>
          <w:r>
            <w:ptab w:relativeTo="margin" w:alignment="right" w:leader="dot"/>
          </w:r>
          <w:r>
            <w:rPr>
              <w:b/>
              <w:bCs/>
              <w:lang w:val="es-ES"/>
            </w:rPr>
            <w:t>3</w:t>
          </w:r>
        </w:p>
        <w:p w:rsidR="008761C8" w:rsidRDefault="008761C8">
          <w:pPr>
            <w:pStyle w:val="TDC1"/>
          </w:pPr>
          <w:r>
            <w:rPr>
              <w:b/>
              <w:bCs/>
            </w:rPr>
            <w:t>Días de Terapia Antimicrobiana en el servicio de Oncología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54535D">
            <w:rPr>
              <w:b/>
            </w:rPr>
            <w:t>Grupo Acceso</w:t>
          </w:r>
          <w:r>
            <w:ptab w:relativeTo="margin" w:alignment="right" w:leader="dot"/>
          </w:r>
          <w:r w:rsidR="0004634F">
            <w:t>4</w:t>
          </w:r>
        </w:p>
        <w:p w:rsidR="008761C8" w:rsidRDefault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54535D">
            <w:rPr>
              <w:b/>
            </w:rPr>
            <w:t>Grupo Vigilancia</w:t>
          </w:r>
          <w:r>
            <w:ptab w:relativeTo="margin" w:alignment="right" w:leader="dot"/>
          </w:r>
          <w:r w:rsidR="0004634F">
            <w:rPr>
              <w:lang w:val="es-ES"/>
            </w:rPr>
            <w:t>5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Pr="008761C8" w:rsidRDefault="008761C8" w:rsidP="008761C8">
          <w:pPr>
            <w:pStyle w:val="TDC3"/>
            <w:ind w:left="446"/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54535D">
            <w:rPr>
              <w:b/>
            </w:rPr>
            <w:t>Grupo Reserva</w:t>
          </w:r>
          <w:r>
            <w:ptab w:relativeTo="margin" w:alignment="right" w:leader="dot"/>
          </w:r>
          <w:r w:rsidR="0004634F">
            <w:rPr>
              <w:lang w:val="es-ES"/>
            </w:rPr>
            <w:t>6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1"/>
          </w:pPr>
          <w:r>
            <w:rPr>
              <w:b/>
              <w:bCs/>
            </w:rPr>
            <w:t>Días de Terapia Antimicrobiana en el servicio de UCIP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54535D">
            <w:rPr>
              <w:b/>
            </w:rPr>
            <w:t>Grupo Acceso</w:t>
          </w:r>
          <w:r>
            <w:ptab w:relativeTo="margin" w:alignment="right" w:leader="dot"/>
          </w:r>
          <w:r w:rsidR="0004634F">
            <w:t>7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54535D">
            <w:rPr>
              <w:b/>
            </w:rPr>
            <w:t>Grupo Vigilancia</w:t>
          </w:r>
          <w:r>
            <w:ptab w:relativeTo="margin" w:alignment="right" w:leader="dot"/>
          </w:r>
          <w:r w:rsidR="0004634F">
            <w:rPr>
              <w:lang w:val="es-ES"/>
            </w:rPr>
            <w:t>8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Pr="008761C8" w:rsidRDefault="008761C8" w:rsidP="008761C8">
          <w:pPr>
            <w:pStyle w:val="TDC3"/>
            <w:ind w:left="446"/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54535D">
            <w:rPr>
              <w:b/>
            </w:rPr>
            <w:t>Grupo Reserva</w:t>
          </w:r>
          <w:r>
            <w:ptab w:relativeTo="margin" w:alignment="right" w:leader="dot"/>
          </w:r>
          <w:r w:rsidR="0004634F">
            <w:rPr>
              <w:lang w:val="es-ES"/>
            </w:rPr>
            <w:t>9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1"/>
          </w:pPr>
          <w:r>
            <w:rPr>
              <w:b/>
              <w:bCs/>
            </w:rPr>
            <w:t>Días de Terapia Antimicrobiana en el servicio de UCIN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04634F">
            <w:rPr>
              <w:b/>
            </w:rPr>
            <w:t>Grupo Acceso</w:t>
          </w:r>
          <w:r>
            <w:ptab w:relativeTo="margin" w:alignment="right" w:leader="dot"/>
          </w:r>
          <w:r w:rsidR="0004634F">
            <w:rPr>
              <w:lang w:val="es-ES"/>
            </w:rPr>
            <w:t>10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04634F">
            <w:rPr>
              <w:b/>
            </w:rPr>
            <w:t>Grupo Vigilancia</w:t>
          </w:r>
          <w:r>
            <w:ptab w:relativeTo="margin" w:alignment="right" w:leader="dot"/>
          </w:r>
          <w:r w:rsidR="0004634F">
            <w:rPr>
              <w:lang w:val="es-ES"/>
            </w:rPr>
            <w:t>11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lastRenderedPageBreak/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Pr="008761C8" w:rsidRDefault="008761C8" w:rsidP="008761C8">
          <w:pPr>
            <w:pStyle w:val="TDC3"/>
            <w:ind w:left="446"/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04634F">
            <w:rPr>
              <w:b/>
            </w:rPr>
            <w:t>Grupo Reserva</w:t>
          </w:r>
          <w:r>
            <w:ptab w:relativeTo="margin" w:alignment="right" w:leader="dot"/>
          </w:r>
          <w:r w:rsidR="0004634F">
            <w:rPr>
              <w:lang w:val="es-ES"/>
            </w:rPr>
            <w:t>12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1"/>
          </w:pPr>
          <w:r>
            <w:rPr>
              <w:b/>
              <w:bCs/>
            </w:rPr>
            <w:t>Días de Terapia Antimicrobiana en el servicio de UTIN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04634F">
            <w:rPr>
              <w:b/>
            </w:rPr>
            <w:t>Grupo Acceso</w:t>
          </w:r>
          <w:r>
            <w:ptab w:relativeTo="margin" w:alignment="right" w:leader="dot"/>
          </w:r>
          <w:r w:rsidR="0004634F">
            <w:t>13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04634F">
            <w:rPr>
              <w:b/>
            </w:rPr>
            <w:t>Grupo Vigilancia</w:t>
          </w:r>
          <w:r>
            <w:ptab w:relativeTo="margin" w:alignment="right" w:leader="dot"/>
          </w:r>
          <w:r w:rsidR="0004634F">
            <w:rPr>
              <w:lang w:val="es-ES"/>
            </w:rPr>
            <w:t>14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Pr="008761C8" w:rsidRDefault="008761C8" w:rsidP="008761C8">
          <w:pPr>
            <w:pStyle w:val="TDC3"/>
            <w:ind w:left="446"/>
          </w:pPr>
          <w:r>
            <w:t>Antimicrobianos utilizados en 2024 sin consumo en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2"/>
            <w:ind w:left="216"/>
          </w:pPr>
          <w:r>
            <w:t xml:space="preserve">Antimicrobianos </w:t>
          </w:r>
          <w:r w:rsidRPr="0004634F">
            <w:rPr>
              <w:b/>
            </w:rPr>
            <w:t>Grupo Reserva</w:t>
          </w:r>
          <w:r>
            <w:ptab w:relativeTo="margin" w:alignment="right" w:leader="dot"/>
          </w:r>
          <w:r w:rsidR="0004634F">
            <w:rPr>
              <w:lang w:val="es-ES"/>
            </w:rPr>
            <w:t>15</w:t>
          </w:r>
        </w:p>
        <w:p w:rsidR="008761C8" w:rsidRDefault="008761C8" w:rsidP="008761C8">
          <w:pPr>
            <w:pStyle w:val="TDC3"/>
            <w:ind w:left="446"/>
            <w:rPr>
              <w:lang w:val="es-ES"/>
            </w:rPr>
          </w:pPr>
          <w:r>
            <w:t>Reporte del Consumo Enero-Abril 2025</w:t>
          </w:r>
          <w:r>
            <w:ptab w:relativeTo="margin" w:alignment="right" w:leader="dot"/>
          </w:r>
        </w:p>
        <w:p w:rsidR="008761C8" w:rsidRDefault="008761C8" w:rsidP="008761C8">
          <w:pPr>
            <w:pStyle w:val="TDC3"/>
            <w:ind w:left="446"/>
          </w:pPr>
          <w:r>
            <w:t>Comparativo del Consumo cuatrimestral con el año 2024</w:t>
          </w:r>
          <w:r>
            <w:ptab w:relativeTo="margin" w:alignment="right" w:leader="dot"/>
          </w:r>
        </w:p>
        <w:p w:rsidR="008761C8" w:rsidRPr="008761C8" w:rsidRDefault="006C6343" w:rsidP="008761C8">
          <w:pPr>
            <w:pStyle w:val="TDC3"/>
            <w:ind w:left="446"/>
          </w:pPr>
        </w:p>
      </w:sdtContent>
    </w:sdt>
    <w:p w:rsidR="0004634F" w:rsidRDefault="0004634F" w:rsidP="0092509F">
      <w:pPr>
        <w:jc w:val="center"/>
      </w:pPr>
    </w:p>
    <w:p w:rsidR="0004634F" w:rsidRPr="0004634F" w:rsidRDefault="0004634F" w:rsidP="0004634F"/>
    <w:p w:rsidR="0004634F" w:rsidRPr="0004634F" w:rsidRDefault="0004634F" w:rsidP="0004634F"/>
    <w:p w:rsidR="0004634F" w:rsidRDefault="0004634F" w:rsidP="0092509F">
      <w:pPr>
        <w:jc w:val="center"/>
      </w:pPr>
    </w:p>
    <w:p w:rsidR="0004634F" w:rsidRDefault="0004634F" w:rsidP="0004634F">
      <w:pPr>
        <w:tabs>
          <w:tab w:val="left" w:pos="2400"/>
        </w:tabs>
      </w:pPr>
      <w:r>
        <w:tab/>
      </w:r>
    </w:p>
    <w:p w:rsidR="0004634F" w:rsidRDefault="0004634F">
      <w:r>
        <w:br w:type="page"/>
      </w:r>
    </w:p>
    <w:p w:rsidR="006E650C" w:rsidRPr="006E650C" w:rsidRDefault="001011EE" w:rsidP="006E650C">
      <w:pPr>
        <w:pStyle w:val="TtulodeTDC"/>
        <w:rPr>
          <w:lang w:val="es-ES"/>
        </w:rPr>
      </w:pPr>
      <w:r>
        <w:rPr>
          <w:lang w:val="es-ES"/>
        </w:rPr>
        <w:lastRenderedPageBreak/>
        <w:t>Glosario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1011EE" w:rsidTr="006E650C">
        <w:tc>
          <w:tcPr>
            <w:tcW w:w="2405" w:type="dxa"/>
          </w:tcPr>
          <w:p w:rsidR="001011EE" w:rsidRDefault="001011EE" w:rsidP="0004634F">
            <w:pPr>
              <w:tabs>
                <w:tab w:val="left" w:pos="2400"/>
              </w:tabs>
            </w:pPr>
            <w:r>
              <w:t xml:space="preserve">Termino </w:t>
            </w:r>
          </w:p>
        </w:tc>
        <w:tc>
          <w:tcPr>
            <w:tcW w:w="6423" w:type="dxa"/>
          </w:tcPr>
          <w:p w:rsidR="001011EE" w:rsidRDefault="001011EE" w:rsidP="0004634F">
            <w:pPr>
              <w:tabs>
                <w:tab w:val="left" w:pos="2400"/>
              </w:tabs>
            </w:pPr>
            <w:r>
              <w:t xml:space="preserve">Definición </w:t>
            </w:r>
          </w:p>
        </w:tc>
      </w:tr>
      <w:tr w:rsidR="001011EE" w:rsidTr="006E650C">
        <w:tc>
          <w:tcPr>
            <w:tcW w:w="2405" w:type="dxa"/>
          </w:tcPr>
          <w:p w:rsidR="001011EE" w:rsidRDefault="001011EE" w:rsidP="0004634F">
            <w:pPr>
              <w:tabs>
                <w:tab w:val="left" w:pos="2400"/>
              </w:tabs>
            </w:pPr>
            <w:proofErr w:type="spellStart"/>
            <w:r>
              <w:t>AWaRe</w:t>
            </w:r>
            <w:proofErr w:type="spellEnd"/>
            <w:r>
              <w:t xml:space="preserve"> (Organización Mundial de la Salud)</w:t>
            </w:r>
          </w:p>
        </w:tc>
        <w:tc>
          <w:tcPr>
            <w:tcW w:w="6423" w:type="dxa"/>
          </w:tcPr>
          <w:p w:rsidR="001011EE" w:rsidRDefault="001011EE" w:rsidP="006E650C">
            <w:pPr>
              <w:tabs>
                <w:tab w:val="left" w:pos="2400"/>
              </w:tabs>
              <w:jc w:val="both"/>
            </w:pPr>
            <w:r>
              <w:t>Es una Herramienta que agrupa antibióticos en tres categorías (Acceso, Vigilancia y Reserva) con el objetivo de promover su uso racional y limitar el crecimiento de la resistencia bacteriana.</w:t>
            </w:r>
          </w:p>
        </w:tc>
      </w:tr>
      <w:tr w:rsidR="001011EE" w:rsidTr="006E650C">
        <w:tc>
          <w:tcPr>
            <w:tcW w:w="2405" w:type="dxa"/>
          </w:tcPr>
          <w:p w:rsidR="001011EE" w:rsidRDefault="001011EE" w:rsidP="0004634F">
            <w:pPr>
              <w:tabs>
                <w:tab w:val="left" w:pos="2400"/>
              </w:tabs>
            </w:pPr>
            <w:r>
              <w:t>Grupo Acceso</w:t>
            </w:r>
          </w:p>
        </w:tc>
        <w:tc>
          <w:tcPr>
            <w:tcW w:w="6423" w:type="dxa"/>
          </w:tcPr>
          <w:p w:rsidR="001011EE" w:rsidRDefault="001011EE" w:rsidP="006E650C">
            <w:pPr>
              <w:tabs>
                <w:tab w:val="left" w:pos="2400"/>
              </w:tabs>
              <w:jc w:val="both"/>
            </w:pPr>
            <w:r>
              <w:t>Clasificación de antibióticos (</w:t>
            </w:r>
            <w:proofErr w:type="spellStart"/>
            <w:r>
              <w:t>AWaRe</w:t>
            </w:r>
            <w:proofErr w:type="spellEnd"/>
            <w:r>
              <w:t>, OMS) donde se agrupan aquellos que se consideran de primera línea para tratar infecciones comunes, tienen menos potencial de resistencia, (seguro y económico) y deben estar ampliamente disponibles.</w:t>
            </w:r>
          </w:p>
        </w:tc>
      </w:tr>
      <w:tr w:rsidR="001011EE" w:rsidTr="006E650C">
        <w:tc>
          <w:tcPr>
            <w:tcW w:w="2405" w:type="dxa"/>
          </w:tcPr>
          <w:p w:rsidR="001011EE" w:rsidRDefault="001011EE" w:rsidP="0004634F">
            <w:pPr>
              <w:tabs>
                <w:tab w:val="left" w:pos="2400"/>
              </w:tabs>
            </w:pPr>
            <w:r>
              <w:t>Grupo Vigilancia</w:t>
            </w:r>
          </w:p>
        </w:tc>
        <w:tc>
          <w:tcPr>
            <w:tcW w:w="6423" w:type="dxa"/>
          </w:tcPr>
          <w:p w:rsidR="001011EE" w:rsidRDefault="006E650C" w:rsidP="006E650C">
            <w:pPr>
              <w:tabs>
                <w:tab w:val="left" w:pos="2400"/>
              </w:tabs>
              <w:jc w:val="both"/>
            </w:pPr>
            <w:r>
              <w:t>Clasificación de antibióticos (</w:t>
            </w:r>
            <w:proofErr w:type="spellStart"/>
            <w:r>
              <w:t>AWaRe</w:t>
            </w:r>
            <w:proofErr w:type="spellEnd"/>
            <w:r>
              <w:t>, OMS) donde se agrupan aquellos que se consideran como tratamientos de primera o segunda elección para un número limitado de infecciones (Segunda o Tercera línea para algunas infecciones) y se deben usar con precaución ya que tienen un mayor potencial de genera resistencia.</w:t>
            </w:r>
          </w:p>
        </w:tc>
      </w:tr>
      <w:tr w:rsidR="001011EE" w:rsidTr="006E650C">
        <w:tc>
          <w:tcPr>
            <w:tcW w:w="2405" w:type="dxa"/>
          </w:tcPr>
          <w:p w:rsidR="001011EE" w:rsidRDefault="006E650C" w:rsidP="0004634F">
            <w:pPr>
              <w:tabs>
                <w:tab w:val="left" w:pos="2400"/>
              </w:tabs>
            </w:pPr>
            <w:r>
              <w:t>Grupo Reserva</w:t>
            </w:r>
          </w:p>
        </w:tc>
        <w:tc>
          <w:tcPr>
            <w:tcW w:w="6423" w:type="dxa"/>
          </w:tcPr>
          <w:p w:rsidR="001011EE" w:rsidRDefault="006E650C" w:rsidP="006E650C">
            <w:pPr>
              <w:tabs>
                <w:tab w:val="left" w:pos="2400"/>
              </w:tabs>
              <w:jc w:val="both"/>
            </w:pPr>
            <w:r>
              <w:t>Clasificación de antibióticos (</w:t>
            </w:r>
            <w:proofErr w:type="spellStart"/>
            <w:r>
              <w:t>AWaRe</w:t>
            </w:r>
            <w:proofErr w:type="spellEnd"/>
            <w:r>
              <w:t>, OMS) donde se agrupan aquellos que se consideran de último recurso, utilizados solo para infecciones graves y resistentes, su uso debe ser restringido.</w:t>
            </w:r>
          </w:p>
        </w:tc>
      </w:tr>
      <w:tr w:rsidR="001011EE" w:rsidTr="006E650C">
        <w:tc>
          <w:tcPr>
            <w:tcW w:w="2405" w:type="dxa"/>
          </w:tcPr>
          <w:p w:rsidR="001011EE" w:rsidRDefault="006E650C" w:rsidP="0004634F">
            <w:pPr>
              <w:tabs>
                <w:tab w:val="left" w:pos="2400"/>
              </w:tabs>
            </w:pPr>
            <w:r>
              <w:t>Días de Terapia antimicrobiana (DOT)</w:t>
            </w:r>
          </w:p>
        </w:tc>
        <w:tc>
          <w:tcPr>
            <w:tcW w:w="6423" w:type="dxa"/>
          </w:tcPr>
          <w:p w:rsidR="001011EE" w:rsidRDefault="006E650C" w:rsidP="0004634F">
            <w:pPr>
              <w:tabs>
                <w:tab w:val="left" w:pos="2400"/>
              </w:tabs>
            </w:pPr>
            <w:r>
              <w:t xml:space="preserve">Es una Medida de consumo de fármacos que refleja el uso real del mismo. Se refiere al número de días que cada paciente recibe tratamiento antimicrobiano independientemente de la dosis, frecuencia y de la vía de administración. (Método recomendado </w:t>
            </w:r>
            <w:r w:rsidR="001960FE">
              <w:t>para</w:t>
            </w:r>
            <w:r>
              <w:t xml:space="preserve"> la medición del consumo en pediatría)</w:t>
            </w:r>
          </w:p>
        </w:tc>
      </w:tr>
      <w:tr w:rsidR="00CE1F7C" w:rsidTr="006E650C">
        <w:tc>
          <w:tcPr>
            <w:tcW w:w="2405" w:type="dxa"/>
          </w:tcPr>
          <w:p w:rsidR="00CE1F7C" w:rsidRDefault="00CE1F7C" w:rsidP="0004634F">
            <w:pPr>
              <w:tabs>
                <w:tab w:val="left" w:pos="2400"/>
              </w:tabs>
            </w:pPr>
            <w:r>
              <w:t xml:space="preserve">DOT- </w:t>
            </w:r>
            <w:proofErr w:type="spellStart"/>
            <w:r>
              <w:t>std</w:t>
            </w:r>
            <w:proofErr w:type="spellEnd"/>
          </w:p>
        </w:tc>
        <w:tc>
          <w:tcPr>
            <w:tcW w:w="6423" w:type="dxa"/>
          </w:tcPr>
          <w:p w:rsidR="00CE1F7C" w:rsidRDefault="00CE1F7C" w:rsidP="0004634F">
            <w:pPr>
              <w:tabs>
                <w:tab w:val="left" w:pos="2400"/>
              </w:tabs>
            </w:pPr>
            <w:r>
              <w:t>Días de tratamiento por cada 1000 días-cama</w:t>
            </w:r>
          </w:p>
        </w:tc>
      </w:tr>
    </w:tbl>
    <w:p w:rsidR="0004634F" w:rsidRDefault="0004634F" w:rsidP="0004634F">
      <w:pPr>
        <w:tabs>
          <w:tab w:val="left" w:pos="2400"/>
        </w:tabs>
      </w:pPr>
    </w:p>
    <w:p w:rsidR="001960FE" w:rsidRDefault="001960FE" w:rsidP="001960FE">
      <w:pPr>
        <w:pStyle w:val="TtulodeTDC"/>
        <w:jc w:val="center"/>
        <w:rPr>
          <w:lang w:val="es-ES"/>
        </w:rPr>
      </w:pPr>
      <w:r>
        <w:rPr>
          <w:lang w:val="es-ES"/>
        </w:rPr>
        <w:t>Fórmula para el cálculo DOT</w:t>
      </w:r>
      <w:r w:rsidR="00CE1F7C">
        <w:rPr>
          <w:lang w:val="es-ES"/>
        </w:rPr>
        <w:t>-</w:t>
      </w:r>
      <w:proofErr w:type="spellStart"/>
      <w:r w:rsidR="00CE1F7C">
        <w:rPr>
          <w:lang w:val="es-ES"/>
        </w:rPr>
        <w:t>std</w:t>
      </w:r>
      <w:proofErr w:type="spellEnd"/>
    </w:p>
    <w:p w:rsidR="001960FE" w:rsidRPr="001960FE" w:rsidRDefault="001960FE" w:rsidP="001960FE">
      <w:pPr>
        <w:rPr>
          <w:lang w:val="es-ES" w:eastAsia="es-MX"/>
        </w:rPr>
      </w:pPr>
    </w:p>
    <w:p w:rsidR="008761C8" w:rsidRDefault="001960FE" w:rsidP="0092509F">
      <w:pPr>
        <w:jc w:val="center"/>
        <w:rPr>
          <w:b/>
          <w:sz w:val="32"/>
        </w:rPr>
      </w:pPr>
      <w:r w:rsidRPr="001960FE">
        <w:rPr>
          <w:noProof/>
          <w:lang w:eastAsia="es-MX"/>
        </w:rPr>
        <w:drawing>
          <wp:inline distT="0" distB="0" distL="0" distR="0" wp14:anchorId="1C50912F" wp14:editId="547D5F79">
            <wp:extent cx="5612130" cy="265557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0FE">
        <w:t xml:space="preserve"> </w:t>
      </w:r>
      <w:r w:rsidR="00975149" w:rsidRPr="0004634F">
        <w:br w:type="page"/>
      </w:r>
      <w:r w:rsidR="0092509F" w:rsidRPr="0092509F">
        <w:rPr>
          <w:b/>
          <w:sz w:val="32"/>
        </w:rPr>
        <w:lastRenderedPageBreak/>
        <w:t>Oncología Pediátrica</w:t>
      </w:r>
    </w:p>
    <w:p w:rsidR="001C2557" w:rsidRPr="0092509F" w:rsidRDefault="001C2557" w:rsidP="0092509F">
      <w:pPr>
        <w:jc w:val="center"/>
      </w:pPr>
    </w:p>
    <w:tbl>
      <w:tblPr>
        <w:tblStyle w:val="Tabladecuadrcula1clara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571B" w:rsidTr="008B5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12" w:space="0" w:color="70AD47" w:themeColor="accent6"/>
            </w:tcBorders>
            <w:shd w:val="clear" w:color="auto" w:fill="C5E0B3" w:themeFill="accent6" w:themeFillTint="66"/>
          </w:tcPr>
          <w:p w:rsidR="008B571B" w:rsidRDefault="008B571B" w:rsidP="008B571B">
            <w:pPr>
              <w:jc w:val="center"/>
            </w:pPr>
            <w:r>
              <w:t>Días de Terapia Antimicrobiana en el servicio de Oncología HIE</w:t>
            </w:r>
            <w:r w:rsidR="00D51C7B">
              <w:t>S</w:t>
            </w:r>
            <w:r>
              <w:t xml:space="preserve"> (ENERO-ABRIL 2025)</w:t>
            </w:r>
          </w:p>
          <w:p w:rsidR="008B571B" w:rsidRDefault="008B571B" w:rsidP="008B571B">
            <w:pPr>
              <w:jc w:val="center"/>
            </w:pPr>
            <w:r>
              <w:t xml:space="preserve">GRUPO ACCESO 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8B571B" w:rsidP="008B571B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8B571B" w:rsidRDefault="008B571B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A07887" w:rsidP="008B571B">
            <w:pPr>
              <w:jc w:val="center"/>
            </w:pPr>
            <w:r>
              <w:t>Amoxicilina</w:t>
            </w:r>
          </w:p>
        </w:tc>
        <w:tc>
          <w:tcPr>
            <w:tcW w:w="4414" w:type="dxa"/>
          </w:tcPr>
          <w:p w:rsidR="008B571B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A07887" w:rsidP="008B571B">
            <w:pPr>
              <w:jc w:val="center"/>
            </w:pPr>
            <w:proofErr w:type="spellStart"/>
            <w:r>
              <w:t>Amikacina</w:t>
            </w:r>
            <w:proofErr w:type="spellEnd"/>
          </w:p>
        </w:tc>
        <w:tc>
          <w:tcPr>
            <w:tcW w:w="4414" w:type="dxa"/>
          </w:tcPr>
          <w:p w:rsidR="008B571B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B571B">
            <w:pPr>
              <w:jc w:val="center"/>
            </w:pPr>
            <w:proofErr w:type="spellStart"/>
            <w:r>
              <w:t>Trimetroprim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:rsidR="008B571B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63.5</w:t>
            </w:r>
          </w:p>
        </w:tc>
      </w:tr>
      <w:tr w:rsidR="00D2342E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2342E" w:rsidRDefault="00D2342E" w:rsidP="008B571B">
            <w:pPr>
              <w:jc w:val="center"/>
            </w:pPr>
            <w:proofErr w:type="spellStart"/>
            <w:r>
              <w:t>Clindamicina</w:t>
            </w:r>
            <w:proofErr w:type="spellEnd"/>
          </w:p>
        </w:tc>
        <w:tc>
          <w:tcPr>
            <w:tcW w:w="4414" w:type="dxa"/>
          </w:tcPr>
          <w:p w:rsidR="00D2342E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61.2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B571B">
            <w:pPr>
              <w:jc w:val="center"/>
            </w:pPr>
            <w:proofErr w:type="spellStart"/>
            <w:r>
              <w:t>Mupirocina</w:t>
            </w:r>
            <w:proofErr w:type="spellEnd"/>
          </w:p>
        </w:tc>
        <w:tc>
          <w:tcPr>
            <w:tcW w:w="4414" w:type="dxa"/>
          </w:tcPr>
          <w:p w:rsidR="008B571B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7.06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B571B">
            <w:pPr>
              <w:jc w:val="center"/>
            </w:pPr>
            <w:proofErr w:type="spellStart"/>
            <w:r>
              <w:t>Fluconazol</w:t>
            </w:r>
            <w:proofErr w:type="spellEnd"/>
          </w:p>
        </w:tc>
        <w:tc>
          <w:tcPr>
            <w:tcW w:w="4414" w:type="dxa"/>
          </w:tcPr>
          <w:p w:rsidR="008B571B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B571B">
            <w:pPr>
              <w:jc w:val="center"/>
            </w:pPr>
            <w:proofErr w:type="spellStart"/>
            <w:r>
              <w:t>Metronidazol</w:t>
            </w:r>
            <w:proofErr w:type="spellEnd"/>
          </w:p>
        </w:tc>
        <w:tc>
          <w:tcPr>
            <w:tcW w:w="4414" w:type="dxa"/>
          </w:tcPr>
          <w:p w:rsidR="008B571B" w:rsidRDefault="001467D4" w:rsidP="008B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23.5</w:t>
            </w:r>
          </w:p>
        </w:tc>
      </w:tr>
    </w:tbl>
    <w:p w:rsidR="00FB39A1" w:rsidRDefault="00FB39A1"/>
    <w:p w:rsidR="008B571B" w:rsidRDefault="000A46C2" w:rsidP="00CE1F7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6EE9" w:rsidRDefault="00BD6EE9"/>
    <w:tbl>
      <w:tblPr>
        <w:tblStyle w:val="Tabladecuadrcula1clara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3647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12" w:space="0" w:color="70AD47" w:themeColor="accent6"/>
            </w:tcBorders>
            <w:shd w:val="clear" w:color="auto" w:fill="C5E0B3" w:themeFill="accent6" w:themeFillTint="66"/>
          </w:tcPr>
          <w:p w:rsidR="00F93647" w:rsidRDefault="00F93647" w:rsidP="00F93647">
            <w:pPr>
              <w:jc w:val="center"/>
            </w:pPr>
            <w:r>
              <w:t xml:space="preserve">Días de Terapia Antimicrobiana en el servicio de Oncología GRUPO ACCESO </w:t>
            </w:r>
          </w:p>
          <w:p w:rsidR="00BD6EE9" w:rsidRDefault="00BD6EE9" w:rsidP="00F93647">
            <w:pPr>
              <w:jc w:val="center"/>
            </w:pPr>
            <w:r>
              <w:t>Enero-Abril 2024 (Sin consumo Enero-Abril 2025)</w:t>
            </w:r>
          </w:p>
        </w:tc>
      </w:tr>
      <w:tr w:rsidR="00F93647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93647" w:rsidRDefault="00F93647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F93647" w:rsidRDefault="00F93647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F93647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93647" w:rsidRDefault="00BD6EE9" w:rsidP="008761C8">
            <w:pPr>
              <w:jc w:val="center"/>
            </w:pPr>
            <w:r>
              <w:t>Cloranfenicol</w:t>
            </w:r>
          </w:p>
        </w:tc>
        <w:tc>
          <w:tcPr>
            <w:tcW w:w="4414" w:type="dxa"/>
          </w:tcPr>
          <w:p w:rsidR="00F93647" w:rsidRDefault="006D3EF2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8.56</w:t>
            </w:r>
          </w:p>
        </w:tc>
      </w:tr>
      <w:tr w:rsidR="00BD6EE9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D6EE9" w:rsidRDefault="00BD6EE9" w:rsidP="008761C8">
            <w:pPr>
              <w:jc w:val="center"/>
            </w:pPr>
            <w:proofErr w:type="spellStart"/>
            <w:r>
              <w:t>Miconazol</w:t>
            </w:r>
            <w:proofErr w:type="spellEnd"/>
          </w:p>
        </w:tc>
        <w:tc>
          <w:tcPr>
            <w:tcW w:w="4414" w:type="dxa"/>
          </w:tcPr>
          <w:p w:rsidR="00BD6EE9" w:rsidRDefault="006D3EF2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58.22</w:t>
            </w:r>
          </w:p>
        </w:tc>
      </w:tr>
    </w:tbl>
    <w:p w:rsidR="008B571B" w:rsidRDefault="008B571B"/>
    <w:p w:rsidR="00BD6EE9" w:rsidRDefault="00BD6EE9"/>
    <w:p w:rsidR="0092509F" w:rsidRDefault="0092509F" w:rsidP="0092509F"/>
    <w:p w:rsidR="0092509F" w:rsidRPr="0092509F" w:rsidRDefault="0092509F" w:rsidP="0092509F">
      <w:pPr>
        <w:jc w:val="center"/>
        <w:rPr>
          <w:b/>
          <w:sz w:val="32"/>
        </w:rPr>
      </w:pPr>
      <w:r w:rsidRPr="0092509F">
        <w:rPr>
          <w:b/>
          <w:sz w:val="32"/>
        </w:rPr>
        <w:lastRenderedPageBreak/>
        <w:t>Oncología Pediátrica</w:t>
      </w:r>
    </w:p>
    <w:tbl>
      <w:tblPr>
        <w:tblStyle w:val="Tabladecuadrcula1clara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571B" w:rsidTr="008B5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8B571B" w:rsidRDefault="008B571B" w:rsidP="008761C8">
            <w:pPr>
              <w:jc w:val="center"/>
            </w:pPr>
            <w:r>
              <w:t>Días de Terapia Antimicrobiana en el servicio de Oncología HIE</w:t>
            </w:r>
            <w:r w:rsidR="00D51C7B">
              <w:t>S</w:t>
            </w:r>
            <w:r>
              <w:t xml:space="preserve"> (ENERO-ABRIL 2025)</w:t>
            </w:r>
          </w:p>
          <w:p w:rsidR="008B571B" w:rsidRDefault="008B571B" w:rsidP="008761C8">
            <w:pPr>
              <w:jc w:val="center"/>
            </w:pPr>
            <w:r>
              <w:t>GRUPO VIGILANCIA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8B571B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8B571B" w:rsidRDefault="008B571B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A07887" w:rsidP="008761C8">
            <w:pPr>
              <w:jc w:val="center"/>
            </w:pPr>
            <w:proofErr w:type="spellStart"/>
            <w:r>
              <w:t>Cefuroxima</w:t>
            </w:r>
            <w:proofErr w:type="spellEnd"/>
          </w:p>
        </w:tc>
        <w:tc>
          <w:tcPr>
            <w:tcW w:w="4414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11.8</w:t>
            </w:r>
          </w:p>
        </w:tc>
      </w:tr>
      <w:tr w:rsidR="00A07887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07887" w:rsidRDefault="00A07887" w:rsidP="008761C8">
            <w:pPr>
              <w:jc w:val="center"/>
            </w:pPr>
            <w:proofErr w:type="spellStart"/>
            <w:r>
              <w:t>Cefotaxima</w:t>
            </w:r>
            <w:proofErr w:type="spellEnd"/>
          </w:p>
        </w:tc>
        <w:tc>
          <w:tcPr>
            <w:tcW w:w="4414" w:type="dxa"/>
          </w:tcPr>
          <w:p w:rsidR="00A07887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7.06</w:t>
            </w:r>
          </w:p>
        </w:tc>
      </w:tr>
      <w:tr w:rsidR="001467D4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1467D4" w:rsidRDefault="001467D4" w:rsidP="008761C8">
            <w:pPr>
              <w:jc w:val="center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4414" w:type="dxa"/>
          </w:tcPr>
          <w:p w:rsidR="001467D4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30.6</w:t>
            </w:r>
          </w:p>
        </w:tc>
      </w:tr>
      <w:tr w:rsidR="00A07887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07887" w:rsidRDefault="00A07887" w:rsidP="008761C8">
            <w:pPr>
              <w:jc w:val="center"/>
            </w:pPr>
            <w:proofErr w:type="spellStart"/>
            <w:r>
              <w:t>Ceftriaxona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:rsidR="00A07887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A07887" w:rsidP="008761C8">
            <w:pPr>
              <w:jc w:val="center"/>
            </w:pPr>
            <w:proofErr w:type="spellStart"/>
            <w:r>
              <w:t>Cefepime</w:t>
            </w:r>
            <w:proofErr w:type="spellEnd"/>
          </w:p>
        </w:tc>
        <w:tc>
          <w:tcPr>
            <w:tcW w:w="4414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348</w:t>
            </w:r>
          </w:p>
        </w:tc>
      </w:tr>
      <w:tr w:rsidR="00D2342E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2342E" w:rsidRDefault="00D2342E" w:rsidP="008761C8">
            <w:pPr>
              <w:jc w:val="center"/>
            </w:pPr>
            <w:proofErr w:type="spellStart"/>
            <w:r>
              <w:t>Meropenem</w:t>
            </w:r>
            <w:proofErr w:type="spellEnd"/>
          </w:p>
        </w:tc>
        <w:tc>
          <w:tcPr>
            <w:tcW w:w="4414" w:type="dxa"/>
          </w:tcPr>
          <w:p w:rsidR="00D2342E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63.5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761C8">
            <w:pPr>
              <w:jc w:val="center"/>
            </w:pPr>
            <w:proofErr w:type="spellStart"/>
            <w:r>
              <w:t>Vancomicina</w:t>
            </w:r>
            <w:proofErr w:type="spellEnd"/>
          </w:p>
        </w:tc>
        <w:tc>
          <w:tcPr>
            <w:tcW w:w="4414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2342E" w:rsidRDefault="00D2342E" w:rsidP="00D2342E">
            <w:pPr>
              <w:jc w:val="center"/>
            </w:pPr>
            <w:proofErr w:type="spellStart"/>
            <w:r>
              <w:t>Tobramicina</w:t>
            </w:r>
            <w:proofErr w:type="spellEnd"/>
          </w:p>
        </w:tc>
        <w:tc>
          <w:tcPr>
            <w:tcW w:w="4414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2.35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761C8">
            <w:pPr>
              <w:jc w:val="center"/>
            </w:pPr>
            <w:proofErr w:type="spellStart"/>
            <w:r>
              <w:t>Ciprofloxacino</w:t>
            </w:r>
            <w:proofErr w:type="spellEnd"/>
          </w:p>
        </w:tc>
        <w:tc>
          <w:tcPr>
            <w:tcW w:w="4414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</w:t>
            </w:r>
          </w:p>
        </w:tc>
      </w:tr>
      <w:tr w:rsidR="008B571B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B571B" w:rsidRDefault="00D2342E" w:rsidP="008761C8">
            <w:pPr>
              <w:jc w:val="center"/>
            </w:pPr>
            <w:proofErr w:type="spellStart"/>
            <w:r>
              <w:t>Claritromicina</w:t>
            </w:r>
            <w:proofErr w:type="spellEnd"/>
          </w:p>
        </w:tc>
        <w:tc>
          <w:tcPr>
            <w:tcW w:w="4414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56.5</w:t>
            </w:r>
          </w:p>
        </w:tc>
      </w:tr>
      <w:tr w:rsidR="001467D4" w:rsidTr="008B5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1467D4" w:rsidRDefault="001467D4" w:rsidP="008761C8">
            <w:pPr>
              <w:jc w:val="center"/>
            </w:pPr>
            <w:proofErr w:type="spellStart"/>
            <w:r>
              <w:t>Anfotericina</w:t>
            </w:r>
            <w:proofErr w:type="spellEnd"/>
            <w:r>
              <w:t xml:space="preserve"> B</w:t>
            </w:r>
          </w:p>
        </w:tc>
        <w:tc>
          <w:tcPr>
            <w:tcW w:w="4414" w:type="dxa"/>
          </w:tcPr>
          <w:p w:rsidR="001467D4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32.9</w:t>
            </w:r>
          </w:p>
        </w:tc>
      </w:tr>
    </w:tbl>
    <w:p w:rsidR="008B571B" w:rsidRDefault="00505A30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4E160D0" wp14:editId="354BEA33">
            <wp:simplePos x="0" y="0"/>
            <wp:positionH relativeFrom="column">
              <wp:posOffset>-237600</wp:posOffset>
            </wp:positionH>
            <wp:positionV relativeFrom="paragraph">
              <wp:posOffset>295490</wp:posOffset>
            </wp:positionV>
            <wp:extent cx="6162725" cy="3484265"/>
            <wp:effectExtent l="0" t="0" r="9525" b="190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D3EF2" w:rsidRDefault="006D3EF2"/>
    <w:tbl>
      <w:tblPr>
        <w:tblStyle w:val="Tabladecuadrcula1clara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6EE9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BD6EE9" w:rsidRDefault="00BD6EE9" w:rsidP="00BD6EE9">
            <w:pPr>
              <w:jc w:val="center"/>
            </w:pPr>
            <w:r>
              <w:t xml:space="preserve">Días de Terapia Antimicrobiana en el servicio de Oncología GRUPO VIGILANCIA </w:t>
            </w:r>
          </w:p>
          <w:p w:rsidR="00BD6EE9" w:rsidRDefault="00BD6EE9" w:rsidP="00BD6EE9">
            <w:pPr>
              <w:jc w:val="center"/>
            </w:pPr>
            <w:r>
              <w:t>Enero-Abril 2024 (Sin consumo Enero-Abril 2025)</w:t>
            </w:r>
          </w:p>
        </w:tc>
      </w:tr>
      <w:tr w:rsidR="00BD6EE9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D6EE9" w:rsidRDefault="00BD6EE9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BD6EE9" w:rsidRDefault="00BD6EE9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BD6EE9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D6EE9" w:rsidRDefault="00BD6EE9" w:rsidP="00BD6EE9">
            <w:pPr>
              <w:jc w:val="center"/>
            </w:pPr>
            <w:proofErr w:type="spellStart"/>
            <w:r>
              <w:t>Piperacilina</w:t>
            </w:r>
            <w:proofErr w:type="spellEnd"/>
            <w:r>
              <w:t xml:space="preserve"> / 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4414" w:type="dxa"/>
          </w:tcPr>
          <w:p w:rsidR="00BD6EE9" w:rsidRDefault="006D3EF2" w:rsidP="006D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27.40</w:t>
            </w:r>
          </w:p>
        </w:tc>
      </w:tr>
      <w:tr w:rsidR="00BD6EE9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D6EE9" w:rsidRDefault="00BD6EE9" w:rsidP="00BD6EE9">
            <w:pPr>
              <w:jc w:val="center"/>
            </w:pPr>
            <w:proofErr w:type="spellStart"/>
            <w:r>
              <w:t>Levofloxacino</w:t>
            </w:r>
            <w:proofErr w:type="spellEnd"/>
          </w:p>
        </w:tc>
        <w:tc>
          <w:tcPr>
            <w:tcW w:w="4414" w:type="dxa"/>
          </w:tcPr>
          <w:p w:rsidR="00BD6EE9" w:rsidRDefault="006D3EF2" w:rsidP="006D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BD6EE9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D6EE9" w:rsidRDefault="00BD6EE9" w:rsidP="00BD6EE9">
            <w:pPr>
              <w:jc w:val="center"/>
            </w:pPr>
            <w:proofErr w:type="spellStart"/>
            <w:r>
              <w:t>Imipenem</w:t>
            </w:r>
            <w:proofErr w:type="spellEnd"/>
          </w:p>
        </w:tc>
        <w:tc>
          <w:tcPr>
            <w:tcW w:w="4414" w:type="dxa"/>
          </w:tcPr>
          <w:p w:rsidR="00BD6EE9" w:rsidRDefault="006D3EF2" w:rsidP="006D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6.85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BD6EE9">
            <w:pPr>
              <w:jc w:val="center"/>
            </w:pPr>
            <w:proofErr w:type="spellStart"/>
            <w:r>
              <w:t>Neomicina</w:t>
            </w:r>
            <w:proofErr w:type="spellEnd"/>
          </w:p>
        </w:tc>
        <w:tc>
          <w:tcPr>
            <w:tcW w:w="4414" w:type="dxa"/>
          </w:tcPr>
          <w:p w:rsidR="00D728EF" w:rsidRDefault="006D3EF2" w:rsidP="006D3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32.53</w:t>
            </w:r>
          </w:p>
        </w:tc>
      </w:tr>
    </w:tbl>
    <w:p w:rsidR="005C1C3F" w:rsidRDefault="0092509F" w:rsidP="00505A30">
      <w:pPr>
        <w:jc w:val="center"/>
        <w:rPr>
          <w:b/>
          <w:sz w:val="32"/>
        </w:rPr>
      </w:pPr>
      <w:r w:rsidRPr="0092509F">
        <w:rPr>
          <w:b/>
          <w:sz w:val="32"/>
        </w:rPr>
        <w:lastRenderedPageBreak/>
        <w:t>Oncología Pediátrica</w:t>
      </w:r>
    </w:p>
    <w:p w:rsidR="00DB3977" w:rsidRPr="0092509F" w:rsidRDefault="00DB3977" w:rsidP="0092509F">
      <w:pPr>
        <w:jc w:val="center"/>
        <w:rPr>
          <w:b/>
          <w:sz w:val="32"/>
        </w:rPr>
      </w:pPr>
    </w:p>
    <w:tbl>
      <w:tblPr>
        <w:tblStyle w:val="Tabladecuadrcula1Claro-nfasis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410"/>
        <w:gridCol w:w="4408"/>
      </w:tblGrid>
      <w:tr w:rsidR="008B571B" w:rsidTr="00D72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single" w:sz="12" w:space="0" w:color="FF0000"/>
            </w:tcBorders>
            <w:shd w:val="clear" w:color="auto" w:fill="F53C37"/>
          </w:tcPr>
          <w:p w:rsidR="008B571B" w:rsidRPr="00D728EF" w:rsidRDefault="008B571B" w:rsidP="008761C8">
            <w:pPr>
              <w:jc w:val="center"/>
              <w:rPr>
                <w:color w:val="FFFFFF" w:themeColor="background1"/>
              </w:rPr>
            </w:pPr>
            <w:r w:rsidRPr="00D728EF">
              <w:rPr>
                <w:color w:val="FFFFFF" w:themeColor="background1"/>
              </w:rPr>
              <w:t>Días de Terapia Antimicrobiana en el servicio de Oncología HIE</w:t>
            </w:r>
            <w:r w:rsidR="00D51C7B" w:rsidRPr="00D728EF">
              <w:rPr>
                <w:color w:val="FFFFFF" w:themeColor="background1"/>
              </w:rPr>
              <w:t>S</w:t>
            </w:r>
            <w:r w:rsidRPr="00D728EF">
              <w:rPr>
                <w:color w:val="FFFFFF" w:themeColor="background1"/>
              </w:rPr>
              <w:t xml:space="preserve"> (ENERO-ABRIL 2025)</w:t>
            </w:r>
          </w:p>
          <w:p w:rsidR="008B571B" w:rsidRDefault="00A07887" w:rsidP="008761C8">
            <w:pPr>
              <w:jc w:val="center"/>
            </w:pPr>
            <w:r w:rsidRPr="00D728EF">
              <w:rPr>
                <w:color w:val="FFFFFF" w:themeColor="background1"/>
              </w:rPr>
              <w:t>GRUPO reserva</w:t>
            </w:r>
          </w:p>
        </w:tc>
      </w:tr>
      <w:tr w:rsidR="008B571B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FF0000"/>
            </w:tcBorders>
          </w:tcPr>
          <w:p w:rsidR="008B571B" w:rsidRDefault="008B571B" w:rsidP="008761C8">
            <w:pPr>
              <w:jc w:val="center"/>
            </w:pPr>
            <w:r>
              <w:t>ANTIMICROBIANO</w:t>
            </w:r>
          </w:p>
        </w:tc>
        <w:tc>
          <w:tcPr>
            <w:tcW w:w="4408" w:type="dxa"/>
            <w:tcBorders>
              <w:top w:val="single" w:sz="12" w:space="0" w:color="FF0000"/>
            </w:tcBorders>
          </w:tcPr>
          <w:p w:rsidR="008B571B" w:rsidRDefault="008B571B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8B571B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8B571B" w:rsidRDefault="006D3EF2" w:rsidP="008761C8">
            <w:pPr>
              <w:jc w:val="center"/>
            </w:pPr>
            <w:proofErr w:type="spellStart"/>
            <w:r>
              <w:t>Linezolid</w:t>
            </w:r>
            <w:proofErr w:type="spellEnd"/>
          </w:p>
        </w:tc>
        <w:tc>
          <w:tcPr>
            <w:tcW w:w="4408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8B571B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8B571B" w:rsidRDefault="006D3EF2" w:rsidP="008761C8">
            <w:pPr>
              <w:jc w:val="center"/>
            </w:pPr>
            <w:proofErr w:type="spellStart"/>
            <w:r>
              <w:t>Voriconazol</w:t>
            </w:r>
            <w:proofErr w:type="spellEnd"/>
          </w:p>
        </w:tc>
        <w:tc>
          <w:tcPr>
            <w:tcW w:w="4408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30.6</w:t>
            </w:r>
          </w:p>
        </w:tc>
      </w:tr>
      <w:tr w:rsidR="008B571B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8B571B" w:rsidRDefault="006D3EF2" w:rsidP="008761C8">
            <w:pPr>
              <w:jc w:val="center"/>
            </w:pPr>
            <w:proofErr w:type="spellStart"/>
            <w:r>
              <w:t>Caspofungina</w:t>
            </w:r>
            <w:proofErr w:type="spellEnd"/>
          </w:p>
        </w:tc>
        <w:tc>
          <w:tcPr>
            <w:tcW w:w="4408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8B571B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8B571B" w:rsidRDefault="001467D4" w:rsidP="008761C8">
            <w:pPr>
              <w:jc w:val="center"/>
            </w:pPr>
            <w:proofErr w:type="spellStart"/>
            <w:r>
              <w:t>Terbinafina</w:t>
            </w:r>
            <w:proofErr w:type="spellEnd"/>
          </w:p>
        </w:tc>
        <w:tc>
          <w:tcPr>
            <w:tcW w:w="4408" w:type="dxa"/>
          </w:tcPr>
          <w:p w:rsidR="008B571B" w:rsidRDefault="001467D4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9.41</w:t>
            </w:r>
          </w:p>
        </w:tc>
      </w:tr>
    </w:tbl>
    <w:p w:rsidR="008B571B" w:rsidRDefault="008B571B"/>
    <w:p w:rsidR="00A07887" w:rsidRDefault="005C1C3F" w:rsidP="00CE1F7C">
      <w:pPr>
        <w:jc w:val="center"/>
      </w:pPr>
      <w:r>
        <w:rPr>
          <w:noProof/>
          <w:lang w:eastAsia="es-MX"/>
        </w:rPr>
        <w:drawing>
          <wp:inline distT="0" distB="0" distL="0" distR="0" wp14:anchorId="6A9EB432" wp14:editId="6573CBE3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7887" w:rsidRDefault="00A07887"/>
    <w:tbl>
      <w:tblPr>
        <w:tblStyle w:val="Tabladecuadrcula1Claro-nfasis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410"/>
        <w:gridCol w:w="4408"/>
      </w:tblGrid>
      <w:tr w:rsidR="00D728EF" w:rsidTr="00D72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single" w:sz="12" w:space="0" w:color="FF0000"/>
            </w:tcBorders>
            <w:shd w:val="clear" w:color="auto" w:fill="F53C37"/>
          </w:tcPr>
          <w:p w:rsidR="00D728EF" w:rsidRPr="00D728EF" w:rsidRDefault="00D728EF" w:rsidP="00D728EF">
            <w:pPr>
              <w:jc w:val="center"/>
              <w:rPr>
                <w:color w:val="FFFFFF" w:themeColor="background1"/>
              </w:rPr>
            </w:pPr>
            <w:r w:rsidRPr="00D728EF">
              <w:rPr>
                <w:color w:val="FFFFFF" w:themeColor="background1"/>
              </w:rPr>
              <w:t>Días de Terapia Antimicrobiana en el servicio de Oncología GRUPO RESERVA</w:t>
            </w:r>
          </w:p>
          <w:p w:rsidR="00D728EF" w:rsidRDefault="00D728EF" w:rsidP="00D728EF">
            <w:pPr>
              <w:jc w:val="center"/>
            </w:pPr>
            <w:r w:rsidRPr="00D728EF">
              <w:rPr>
                <w:color w:val="FFFFFF" w:themeColor="background1"/>
              </w:rPr>
              <w:t>Enero-Abril 2024 (Sin consumo Enero-Abril 2025)</w:t>
            </w:r>
          </w:p>
        </w:tc>
      </w:tr>
      <w:tr w:rsidR="00D728EF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FF0000"/>
            </w:tcBorders>
          </w:tcPr>
          <w:p w:rsidR="00D728EF" w:rsidRDefault="00D728EF" w:rsidP="008761C8">
            <w:pPr>
              <w:jc w:val="center"/>
            </w:pPr>
            <w:r>
              <w:t>ANTIMICROBIANO</w:t>
            </w:r>
          </w:p>
        </w:tc>
        <w:tc>
          <w:tcPr>
            <w:tcW w:w="4408" w:type="dxa"/>
            <w:tcBorders>
              <w:top w:val="single" w:sz="12" w:space="0" w:color="FF0000"/>
            </w:tcBorders>
          </w:tcPr>
          <w:p w:rsidR="00D728EF" w:rsidRDefault="00D728EF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D728EF" w:rsidTr="00D72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D728EF" w:rsidRDefault="00D728EF" w:rsidP="008761C8">
            <w:pPr>
              <w:jc w:val="center"/>
            </w:pPr>
            <w:proofErr w:type="spellStart"/>
            <w:r>
              <w:t>Terbinafina</w:t>
            </w:r>
            <w:proofErr w:type="spellEnd"/>
          </w:p>
        </w:tc>
        <w:tc>
          <w:tcPr>
            <w:tcW w:w="4408" w:type="dxa"/>
          </w:tcPr>
          <w:p w:rsidR="00D728EF" w:rsidRDefault="006D3EF2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68.49</w:t>
            </w:r>
          </w:p>
        </w:tc>
      </w:tr>
    </w:tbl>
    <w:p w:rsidR="00A07887" w:rsidRDefault="00A07887"/>
    <w:p w:rsidR="00A07887" w:rsidRDefault="00A07887"/>
    <w:p w:rsidR="00A07887" w:rsidRDefault="00A07887"/>
    <w:p w:rsidR="00EC4788" w:rsidRDefault="00EC4788"/>
    <w:p w:rsidR="00DB3977" w:rsidRDefault="00DB3977"/>
    <w:p w:rsidR="00A07887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Cuidados Intensivos Pediátricos (UCIP)</w:t>
      </w:r>
    </w:p>
    <w:p w:rsidR="00DB3977" w:rsidRPr="0092509F" w:rsidRDefault="00DB3977" w:rsidP="0092509F">
      <w:pPr>
        <w:jc w:val="center"/>
        <w:rPr>
          <w:b/>
          <w:sz w:val="32"/>
        </w:rPr>
      </w:pPr>
    </w:p>
    <w:tbl>
      <w:tblPr>
        <w:tblStyle w:val="Tabladecuadrcula1clara-nfasis6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46B1" w:rsidTr="00CF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12" w:space="0" w:color="70AD47" w:themeColor="accent6"/>
            </w:tcBorders>
            <w:shd w:val="clear" w:color="auto" w:fill="C5E0B3" w:themeFill="accent6" w:themeFillTint="66"/>
          </w:tcPr>
          <w:p w:rsidR="00CF46B1" w:rsidRDefault="00CF46B1" w:rsidP="00CF46B1">
            <w:pPr>
              <w:jc w:val="center"/>
            </w:pPr>
            <w:r>
              <w:t>Días de Terapia Antimicrobiana en el servicio de UCIP HIE</w:t>
            </w:r>
            <w:r w:rsidR="00D51C7B">
              <w:t>S</w:t>
            </w:r>
            <w:r>
              <w:t xml:space="preserve"> (ENERO-ABRIL 2025)</w:t>
            </w:r>
          </w:p>
          <w:p w:rsidR="00CF46B1" w:rsidRDefault="00CF46B1" w:rsidP="00CF46B1">
            <w:pPr>
              <w:jc w:val="center"/>
            </w:pPr>
            <w:r>
              <w:t xml:space="preserve">GRUPO ACCESO </w:t>
            </w:r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CF46B1" w:rsidRDefault="00CF46B1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proofErr w:type="spellStart"/>
            <w:r>
              <w:t>Amikacina</w:t>
            </w:r>
            <w:proofErr w:type="spellEnd"/>
          </w:p>
        </w:tc>
        <w:tc>
          <w:tcPr>
            <w:tcW w:w="4414" w:type="dxa"/>
          </w:tcPr>
          <w:p w:rsidR="00CF46B1" w:rsidRDefault="00655465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</w:t>
            </w:r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proofErr w:type="spellStart"/>
            <w:r>
              <w:t>Trimetroprim</w:t>
            </w:r>
            <w:proofErr w:type="spellEnd"/>
            <w:r>
              <w:t>/</w:t>
            </w:r>
            <w:proofErr w:type="spellStart"/>
            <w:r>
              <w:t>Sulfametoxazol</w:t>
            </w:r>
            <w:proofErr w:type="spellEnd"/>
          </w:p>
        </w:tc>
        <w:tc>
          <w:tcPr>
            <w:tcW w:w="4414" w:type="dxa"/>
          </w:tcPr>
          <w:p w:rsidR="00CF46B1" w:rsidRDefault="00655465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</w:t>
            </w:r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proofErr w:type="spellStart"/>
            <w:r>
              <w:t>Clindamicina</w:t>
            </w:r>
            <w:proofErr w:type="spellEnd"/>
          </w:p>
        </w:tc>
        <w:tc>
          <w:tcPr>
            <w:tcW w:w="4414" w:type="dxa"/>
          </w:tcPr>
          <w:p w:rsidR="00CF46B1" w:rsidRDefault="00655465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r>
              <w:t>Cloranfenicol</w:t>
            </w:r>
          </w:p>
        </w:tc>
        <w:tc>
          <w:tcPr>
            <w:tcW w:w="4414" w:type="dxa"/>
          </w:tcPr>
          <w:p w:rsidR="00CF46B1" w:rsidRDefault="00655465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proofErr w:type="spellStart"/>
            <w:r>
              <w:t>Fluconazol</w:t>
            </w:r>
            <w:proofErr w:type="spellEnd"/>
          </w:p>
        </w:tc>
        <w:tc>
          <w:tcPr>
            <w:tcW w:w="4414" w:type="dxa"/>
          </w:tcPr>
          <w:p w:rsidR="00CF46B1" w:rsidRDefault="006C6343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</w:t>
            </w:r>
          </w:p>
        </w:tc>
      </w:tr>
      <w:tr w:rsidR="00CF46B1" w:rsidTr="00CF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F46B1" w:rsidRDefault="00CF46B1" w:rsidP="00CF46B1">
            <w:pPr>
              <w:jc w:val="center"/>
            </w:pPr>
            <w:proofErr w:type="spellStart"/>
            <w:r>
              <w:t>Metronidazol</w:t>
            </w:r>
            <w:proofErr w:type="spellEnd"/>
          </w:p>
        </w:tc>
        <w:tc>
          <w:tcPr>
            <w:tcW w:w="4414" w:type="dxa"/>
          </w:tcPr>
          <w:p w:rsidR="00CF46B1" w:rsidRDefault="00655465" w:rsidP="00CF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</w:tbl>
    <w:p w:rsidR="00A07887" w:rsidRDefault="00A07887"/>
    <w:p w:rsidR="003E4D2E" w:rsidRDefault="003E4D2E"/>
    <w:p w:rsidR="005C1C3F" w:rsidRDefault="00CF46B1" w:rsidP="00CE1F7C">
      <w:pPr>
        <w:jc w:val="center"/>
      </w:pPr>
      <w:r>
        <w:rPr>
          <w:noProof/>
          <w:lang w:eastAsia="es-MX"/>
        </w:rPr>
        <w:drawing>
          <wp:inline distT="0" distB="0" distL="0" distR="0" wp14:anchorId="0E1A0C0E" wp14:editId="184D20B2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28EF" w:rsidRDefault="00D728EF"/>
    <w:tbl>
      <w:tblPr>
        <w:tblStyle w:val="Tabladecuadrcula1clara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28EF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12" w:space="0" w:color="70AD47" w:themeColor="accent6"/>
            </w:tcBorders>
            <w:shd w:val="clear" w:color="auto" w:fill="C5E0B3" w:themeFill="accent6" w:themeFillTint="66"/>
          </w:tcPr>
          <w:p w:rsidR="00D728EF" w:rsidRDefault="00D728EF" w:rsidP="008761C8">
            <w:pPr>
              <w:jc w:val="center"/>
            </w:pPr>
            <w:r>
              <w:t xml:space="preserve">Días de Terapia Antimicrobiana en el servicio de UCIP GRUPO ACCESO </w:t>
            </w:r>
          </w:p>
          <w:p w:rsidR="00D728EF" w:rsidRDefault="00D728EF" w:rsidP="008761C8">
            <w:pPr>
              <w:jc w:val="center"/>
            </w:pPr>
            <w:r>
              <w:t>Enero-Abril 2024 (Sin consumo Enero-Abril 2025)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D728EF" w:rsidRDefault="00D728EF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8761C8">
            <w:pPr>
              <w:jc w:val="center"/>
            </w:pPr>
            <w:r>
              <w:t>Ampicilina</w:t>
            </w:r>
          </w:p>
        </w:tc>
        <w:tc>
          <w:tcPr>
            <w:tcW w:w="4414" w:type="dxa"/>
          </w:tcPr>
          <w:p w:rsidR="00D728EF" w:rsidRDefault="00EC4788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9.71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8761C8">
            <w:pPr>
              <w:jc w:val="center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4414" w:type="dxa"/>
          </w:tcPr>
          <w:p w:rsidR="00D728EF" w:rsidRDefault="00EC4788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10.68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Miconazol</w:t>
            </w:r>
            <w:proofErr w:type="spellEnd"/>
          </w:p>
        </w:tc>
        <w:tc>
          <w:tcPr>
            <w:tcW w:w="4414" w:type="dxa"/>
          </w:tcPr>
          <w:p w:rsidR="00D728EF" w:rsidRDefault="00EC4788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22.33</w:t>
            </w:r>
          </w:p>
        </w:tc>
      </w:tr>
    </w:tbl>
    <w:p w:rsidR="0092509F" w:rsidRDefault="0092509F" w:rsidP="0092509F"/>
    <w:p w:rsidR="00505A30" w:rsidRDefault="00505A30" w:rsidP="00505A30"/>
    <w:p w:rsidR="00D728EF" w:rsidRPr="0092509F" w:rsidRDefault="0092509F" w:rsidP="00505A3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Cuidados Intensivos Pediátricos (UCIP)</w:t>
      </w:r>
    </w:p>
    <w:tbl>
      <w:tblPr>
        <w:tblStyle w:val="Tabladecuadrcula1clara-nfasis4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51C7B" w:rsidTr="00D51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D51C7B" w:rsidRDefault="00D51C7B" w:rsidP="00D51C7B">
            <w:pPr>
              <w:jc w:val="center"/>
            </w:pPr>
            <w:r>
              <w:t>Días de Terapia Antimicrobiana en el servicio de UCIP HIES (ENERO-ABRIL 2025)</w:t>
            </w:r>
          </w:p>
          <w:p w:rsidR="00D51C7B" w:rsidRDefault="00D51C7B" w:rsidP="00D51C7B">
            <w:pPr>
              <w:jc w:val="center"/>
            </w:pPr>
            <w:r>
              <w:t>GRUPO VIGILANCIA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D51C7B" w:rsidRDefault="00D51C7B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Piperacilina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Cefalexina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Cefalotina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Cefuroxima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3.75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73.8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Cefotaxima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3.75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Ceftriaxona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Cefepime</w:t>
            </w:r>
            <w:proofErr w:type="spellEnd"/>
          </w:p>
        </w:tc>
        <w:tc>
          <w:tcPr>
            <w:tcW w:w="4414" w:type="dxa"/>
          </w:tcPr>
          <w:p w:rsidR="00D51C7B" w:rsidRDefault="006C6343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Meropenem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Vancomicina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324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Fosfomicina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Claritromicina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78.8</w:t>
            </w:r>
          </w:p>
        </w:tc>
      </w:tr>
      <w:tr w:rsidR="00D51C7B" w:rsidTr="00D5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51C7B" w:rsidRDefault="00D51C7B" w:rsidP="00D51C7B">
            <w:pPr>
              <w:jc w:val="center"/>
            </w:pPr>
            <w:proofErr w:type="spellStart"/>
            <w:r>
              <w:t>Ciprofloxacino</w:t>
            </w:r>
            <w:proofErr w:type="spellEnd"/>
          </w:p>
        </w:tc>
        <w:tc>
          <w:tcPr>
            <w:tcW w:w="4414" w:type="dxa"/>
          </w:tcPr>
          <w:p w:rsidR="00D51C7B" w:rsidRDefault="0088172C" w:rsidP="00D5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88.8</w:t>
            </w:r>
          </w:p>
        </w:tc>
      </w:tr>
    </w:tbl>
    <w:p w:rsidR="00CF46B1" w:rsidRDefault="0092509F" w:rsidP="0092509F">
      <w:pPr>
        <w:jc w:val="center"/>
      </w:pPr>
      <w:r>
        <w:rPr>
          <w:noProof/>
          <w:lang w:eastAsia="es-MX"/>
        </w:rPr>
        <w:drawing>
          <wp:inline distT="0" distB="0" distL="0" distR="0" wp14:anchorId="6093BF20" wp14:editId="1F18217E">
            <wp:extent cx="5391150" cy="30670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Tabladecuadrcula1clara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28EF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D728EF" w:rsidRDefault="00D728EF" w:rsidP="008761C8">
            <w:pPr>
              <w:jc w:val="center"/>
            </w:pPr>
            <w:r>
              <w:t>Días de Terapia Antimicrob</w:t>
            </w:r>
            <w:r w:rsidR="004430AB">
              <w:t>iana en el servicio de UCIP</w:t>
            </w:r>
            <w:r>
              <w:t xml:space="preserve"> GRUPO VIGILANCIA </w:t>
            </w:r>
          </w:p>
          <w:p w:rsidR="00D728EF" w:rsidRDefault="00D728EF" w:rsidP="008761C8">
            <w:pPr>
              <w:jc w:val="center"/>
            </w:pPr>
            <w:r>
              <w:t>Enero-Abril 2024 (Sin consumo Enero-Abril 2025)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D728EF" w:rsidRDefault="00D728EF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Levofloxacino</w:t>
            </w:r>
            <w:proofErr w:type="spellEnd"/>
          </w:p>
        </w:tc>
        <w:tc>
          <w:tcPr>
            <w:tcW w:w="4414" w:type="dxa"/>
          </w:tcPr>
          <w:p w:rsidR="00D728EF" w:rsidRDefault="00EC4788" w:rsidP="00EC4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38.89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Moxifloxacino</w:t>
            </w:r>
            <w:proofErr w:type="spellEnd"/>
          </w:p>
        </w:tc>
        <w:tc>
          <w:tcPr>
            <w:tcW w:w="4414" w:type="dxa"/>
          </w:tcPr>
          <w:p w:rsidR="00D728EF" w:rsidRDefault="00EC4788" w:rsidP="00EC4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10.68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Azitromicina</w:t>
            </w:r>
            <w:proofErr w:type="spellEnd"/>
          </w:p>
        </w:tc>
        <w:tc>
          <w:tcPr>
            <w:tcW w:w="4414" w:type="dxa"/>
          </w:tcPr>
          <w:p w:rsidR="00D728EF" w:rsidRDefault="00EC4788" w:rsidP="00EC4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6.80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Tobramicina</w:t>
            </w:r>
            <w:proofErr w:type="spellEnd"/>
          </w:p>
        </w:tc>
        <w:tc>
          <w:tcPr>
            <w:tcW w:w="4414" w:type="dxa"/>
          </w:tcPr>
          <w:p w:rsidR="00D728EF" w:rsidRDefault="00EC4788" w:rsidP="00EC4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35.92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Neomicina</w:t>
            </w:r>
            <w:proofErr w:type="spellEnd"/>
          </w:p>
        </w:tc>
        <w:tc>
          <w:tcPr>
            <w:tcW w:w="4414" w:type="dxa"/>
          </w:tcPr>
          <w:p w:rsidR="00D728EF" w:rsidRDefault="00EC4788" w:rsidP="00EC4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9.71</w:t>
            </w:r>
          </w:p>
        </w:tc>
      </w:tr>
      <w:tr w:rsidR="00D728EF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728EF" w:rsidRDefault="00D728EF" w:rsidP="00D728EF">
            <w:pPr>
              <w:jc w:val="center"/>
            </w:pPr>
            <w:proofErr w:type="spellStart"/>
            <w:r>
              <w:t>Anfotericina</w:t>
            </w:r>
            <w:proofErr w:type="spellEnd"/>
            <w:r>
              <w:t xml:space="preserve"> B</w:t>
            </w:r>
          </w:p>
        </w:tc>
        <w:tc>
          <w:tcPr>
            <w:tcW w:w="4414" w:type="dxa"/>
          </w:tcPr>
          <w:p w:rsidR="00D728EF" w:rsidRDefault="00EC4788" w:rsidP="00EC4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27.18</w:t>
            </w:r>
          </w:p>
        </w:tc>
      </w:tr>
    </w:tbl>
    <w:p w:rsidR="00CF46B1" w:rsidRDefault="00CF46B1"/>
    <w:p w:rsidR="0092509F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Cuidados Intensivos Pediátricos (UCIP)</w:t>
      </w:r>
    </w:p>
    <w:p w:rsidR="0092509F" w:rsidRPr="0092509F" w:rsidRDefault="0092509F" w:rsidP="0092509F">
      <w:pPr>
        <w:jc w:val="center"/>
        <w:rPr>
          <w:b/>
          <w:sz w:val="32"/>
        </w:rPr>
      </w:pPr>
    </w:p>
    <w:tbl>
      <w:tblPr>
        <w:tblStyle w:val="Tabladecuadrcula1Claro-nfasis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410"/>
        <w:gridCol w:w="4408"/>
      </w:tblGrid>
      <w:tr w:rsidR="00A07887" w:rsidTr="00A07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single" w:sz="12" w:space="0" w:color="FF0000"/>
            </w:tcBorders>
            <w:shd w:val="clear" w:color="auto" w:fill="F53C37"/>
          </w:tcPr>
          <w:p w:rsidR="00A07887" w:rsidRDefault="00A07887" w:rsidP="008761C8">
            <w:pPr>
              <w:jc w:val="center"/>
            </w:pPr>
            <w:r>
              <w:t>Días de Terapia Antimicrobiana</w:t>
            </w:r>
            <w:r w:rsidR="00C66F92">
              <w:t xml:space="preserve"> en el servicio de UCIP</w:t>
            </w:r>
            <w:r>
              <w:t xml:space="preserve"> HIE</w:t>
            </w:r>
            <w:r w:rsidR="00D51C7B">
              <w:t>S</w:t>
            </w:r>
            <w:r>
              <w:t xml:space="preserve"> (ENERO-ABRIL 2025)</w:t>
            </w:r>
          </w:p>
          <w:p w:rsidR="00A07887" w:rsidRDefault="00A07887" w:rsidP="008761C8">
            <w:pPr>
              <w:jc w:val="center"/>
            </w:pPr>
            <w:r>
              <w:t>GRUPO reserva</w:t>
            </w:r>
          </w:p>
        </w:tc>
      </w:tr>
      <w:tr w:rsidR="00A07887" w:rsidTr="00A0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FF0000"/>
            </w:tcBorders>
          </w:tcPr>
          <w:p w:rsidR="00A07887" w:rsidRDefault="00A07887" w:rsidP="008761C8">
            <w:pPr>
              <w:jc w:val="center"/>
            </w:pPr>
            <w:r>
              <w:t>ANTIMICROBIANO</w:t>
            </w:r>
          </w:p>
        </w:tc>
        <w:tc>
          <w:tcPr>
            <w:tcW w:w="4408" w:type="dxa"/>
            <w:tcBorders>
              <w:top w:val="single" w:sz="12" w:space="0" w:color="FF0000"/>
            </w:tcBorders>
          </w:tcPr>
          <w:p w:rsidR="00A07887" w:rsidRDefault="00A07887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A07887" w:rsidTr="00A0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A07887" w:rsidRDefault="00E90908" w:rsidP="008761C8">
            <w:pPr>
              <w:jc w:val="center"/>
            </w:pPr>
            <w:proofErr w:type="spellStart"/>
            <w:r>
              <w:t>Linezolid</w:t>
            </w:r>
            <w:proofErr w:type="spellEnd"/>
          </w:p>
        </w:tc>
        <w:tc>
          <w:tcPr>
            <w:tcW w:w="4408" w:type="dxa"/>
          </w:tcPr>
          <w:p w:rsidR="00A07887" w:rsidRDefault="00C331FC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</w:t>
            </w:r>
          </w:p>
        </w:tc>
      </w:tr>
      <w:tr w:rsidR="00A07887" w:rsidTr="00A0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A07887" w:rsidRDefault="00E90908" w:rsidP="008761C8">
            <w:pPr>
              <w:jc w:val="center"/>
            </w:pPr>
            <w:proofErr w:type="spellStart"/>
            <w:r>
              <w:t>Colistina</w:t>
            </w:r>
            <w:proofErr w:type="spellEnd"/>
          </w:p>
        </w:tc>
        <w:tc>
          <w:tcPr>
            <w:tcW w:w="4408" w:type="dxa"/>
          </w:tcPr>
          <w:p w:rsidR="00A07887" w:rsidRDefault="00C331FC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53.8</w:t>
            </w:r>
          </w:p>
        </w:tc>
      </w:tr>
      <w:tr w:rsidR="00A07887" w:rsidTr="00A0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A07887" w:rsidRDefault="006F5D6A" w:rsidP="008761C8">
            <w:pPr>
              <w:jc w:val="center"/>
            </w:pPr>
            <w:proofErr w:type="spellStart"/>
            <w:r>
              <w:t>Caspofungina</w:t>
            </w:r>
            <w:proofErr w:type="spellEnd"/>
          </w:p>
        </w:tc>
        <w:tc>
          <w:tcPr>
            <w:tcW w:w="4408" w:type="dxa"/>
          </w:tcPr>
          <w:p w:rsidR="00A07887" w:rsidRDefault="00C331FC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33.8</w:t>
            </w:r>
          </w:p>
        </w:tc>
      </w:tr>
    </w:tbl>
    <w:p w:rsidR="00A07887" w:rsidRDefault="00A07887"/>
    <w:p w:rsidR="0092509F" w:rsidRDefault="0092509F"/>
    <w:p w:rsidR="00D51C7B" w:rsidRDefault="00D51C7B" w:rsidP="00CE1F7C">
      <w:pPr>
        <w:jc w:val="center"/>
      </w:pPr>
      <w:r>
        <w:rPr>
          <w:noProof/>
          <w:lang w:eastAsia="es-MX"/>
        </w:rPr>
        <w:drawing>
          <wp:inline distT="0" distB="0" distL="0" distR="0" wp14:anchorId="433F57CD" wp14:editId="701829A3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5D2A" w:rsidRDefault="005C5D2A"/>
    <w:p w:rsidR="0092509F" w:rsidRDefault="0092509F"/>
    <w:tbl>
      <w:tblPr>
        <w:tblStyle w:val="Tabladecuadrcula1Claro-nfasis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410"/>
        <w:gridCol w:w="4408"/>
      </w:tblGrid>
      <w:tr w:rsidR="004430AB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single" w:sz="12" w:space="0" w:color="FF0000"/>
            </w:tcBorders>
            <w:shd w:val="clear" w:color="auto" w:fill="F53C37"/>
          </w:tcPr>
          <w:p w:rsidR="004430AB" w:rsidRPr="00D728EF" w:rsidRDefault="004430AB" w:rsidP="008761C8">
            <w:pPr>
              <w:jc w:val="center"/>
              <w:rPr>
                <w:color w:val="FFFFFF" w:themeColor="background1"/>
              </w:rPr>
            </w:pPr>
            <w:r w:rsidRPr="00D728EF">
              <w:rPr>
                <w:color w:val="FFFFFF" w:themeColor="background1"/>
              </w:rPr>
              <w:t>Días de Terapia Antimicrob</w:t>
            </w:r>
            <w:r w:rsidR="00B535E8">
              <w:rPr>
                <w:color w:val="FFFFFF" w:themeColor="background1"/>
              </w:rPr>
              <w:t>iana en el servicio de UCIP</w:t>
            </w:r>
            <w:r w:rsidRPr="00D728EF">
              <w:rPr>
                <w:color w:val="FFFFFF" w:themeColor="background1"/>
              </w:rPr>
              <w:t xml:space="preserve"> GRUPO RESERVA</w:t>
            </w:r>
          </w:p>
          <w:p w:rsidR="004430AB" w:rsidRDefault="004430AB" w:rsidP="008761C8">
            <w:pPr>
              <w:jc w:val="center"/>
            </w:pPr>
            <w:r w:rsidRPr="00D728EF">
              <w:rPr>
                <w:color w:val="FFFFFF" w:themeColor="background1"/>
              </w:rPr>
              <w:t>Enero-Abril 2024 (Sin consumo Enero-Abril 2025)</w:t>
            </w:r>
          </w:p>
        </w:tc>
      </w:tr>
      <w:tr w:rsidR="004430AB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FF0000"/>
            </w:tcBorders>
          </w:tcPr>
          <w:p w:rsidR="004430AB" w:rsidRDefault="004430AB" w:rsidP="008761C8">
            <w:pPr>
              <w:jc w:val="center"/>
            </w:pPr>
            <w:r>
              <w:t>ANTIMICROBIANO</w:t>
            </w:r>
          </w:p>
        </w:tc>
        <w:tc>
          <w:tcPr>
            <w:tcW w:w="4408" w:type="dxa"/>
            <w:tcBorders>
              <w:top w:val="single" w:sz="12" w:space="0" w:color="FF0000"/>
            </w:tcBorders>
          </w:tcPr>
          <w:p w:rsidR="004430AB" w:rsidRDefault="004430AB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4430AB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4430AB" w:rsidRDefault="004430AB" w:rsidP="004430AB">
            <w:pPr>
              <w:jc w:val="center"/>
            </w:pPr>
            <w:proofErr w:type="spellStart"/>
            <w:r>
              <w:t>Voriconazol</w:t>
            </w:r>
            <w:proofErr w:type="spellEnd"/>
          </w:p>
        </w:tc>
        <w:tc>
          <w:tcPr>
            <w:tcW w:w="4408" w:type="dxa"/>
          </w:tcPr>
          <w:p w:rsidR="004430AB" w:rsidRDefault="005C5D2A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0.97</w:t>
            </w:r>
          </w:p>
        </w:tc>
      </w:tr>
    </w:tbl>
    <w:p w:rsidR="00C66F92" w:rsidRDefault="00C66F92"/>
    <w:p w:rsidR="005C1C3F" w:rsidRDefault="005C1C3F"/>
    <w:p w:rsidR="005C1C3F" w:rsidRDefault="005C1C3F"/>
    <w:p w:rsidR="005C1C3F" w:rsidRDefault="005C1C3F"/>
    <w:p w:rsidR="0092509F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Cuidados Intensivos Neonatales (UCIN)</w:t>
      </w:r>
    </w:p>
    <w:p w:rsidR="0092509F" w:rsidRPr="0092509F" w:rsidRDefault="0092509F" w:rsidP="0092509F">
      <w:pPr>
        <w:jc w:val="center"/>
        <w:rPr>
          <w:b/>
          <w:sz w:val="32"/>
        </w:rPr>
      </w:pPr>
    </w:p>
    <w:tbl>
      <w:tblPr>
        <w:tblStyle w:val="Tabladecuadrcula1clara-nfasis6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5664" w:rsidTr="00595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12" w:space="0" w:color="70AD47" w:themeColor="accent6"/>
            </w:tcBorders>
            <w:shd w:val="clear" w:color="auto" w:fill="C5E0B3" w:themeFill="accent6" w:themeFillTint="66"/>
          </w:tcPr>
          <w:p w:rsidR="00595664" w:rsidRDefault="00595664" w:rsidP="00595664">
            <w:pPr>
              <w:jc w:val="center"/>
            </w:pPr>
            <w:r>
              <w:t>Días de Terapia Antimicrobiana en el servicio de UCIN HIES (ENERO-ABRIL 2025)</w:t>
            </w:r>
          </w:p>
          <w:p w:rsidR="00595664" w:rsidRDefault="00595664" w:rsidP="00595664">
            <w:pPr>
              <w:jc w:val="center"/>
            </w:pPr>
            <w:r>
              <w:t xml:space="preserve">GRUPO ACCESO 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595664" w:rsidRDefault="00595664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r>
              <w:t>Penicilina G</w:t>
            </w:r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49.8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proofErr w:type="spellStart"/>
            <w:r>
              <w:t>Trimetroprim</w:t>
            </w:r>
            <w:proofErr w:type="spellEnd"/>
            <w:r>
              <w:t>/</w:t>
            </w:r>
            <w:proofErr w:type="spellStart"/>
            <w:r>
              <w:t>Sulfametoxazol</w:t>
            </w:r>
            <w:proofErr w:type="spellEnd"/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13.2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r>
              <w:t>Ampicilina</w:t>
            </w:r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204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proofErr w:type="spellStart"/>
            <w:r>
              <w:t>Amikacina</w:t>
            </w:r>
            <w:proofErr w:type="spellEnd"/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64.6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</w:tr>
      <w:tr w:rsidR="00783511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83511" w:rsidRDefault="00783511" w:rsidP="00595664">
            <w:pPr>
              <w:jc w:val="center"/>
            </w:pPr>
            <w:proofErr w:type="spellStart"/>
            <w:r>
              <w:t>Clindamicina</w:t>
            </w:r>
            <w:proofErr w:type="spellEnd"/>
          </w:p>
        </w:tc>
        <w:tc>
          <w:tcPr>
            <w:tcW w:w="4414" w:type="dxa"/>
          </w:tcPr>
          <w:p w:rsidR="00783511" w:rsidRDefault="00783511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3.56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r>
              <w:t>Cloranfenicol</w:t>
            </w:r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23.9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proofErr w:type="spellStart"/>
            <w:r>
              <w:t>Mupirocina</w:t>
            </w:r>
            <w:proofErr w:type="spellEnd"/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1.53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proofErr w:type="spellStart"/>
            <w:r>
              <w:t>Fluconazol</w:t>
            </w:r>
            <w:proofErr w:type="spellEnd"/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49.8</w:t>
            </w:r>
          </w:p>
        </w:tc>
      </w:tr>
      <w:tr w:rsidR="00595664" w:rsidTr="00595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95664" w:rsidRDefault="00595664" w:rsidP="00595664">
            <w:pPr>
              <w:jc w:val="center"/>
            </w:pPr>
            <w:proofErr w:type="spellStart"/>
            <w:r>
              <w:t>Metronidazol</w:t>
            </w:r>
            <w:proofErr w:type="spellEnd"/>
          </w:p>
        </w:tc>
        <w:tc>
          <w:tcPr>
            <w:tcW w:w="4414" w:type="dxa"/>
          </w:tcPr>
          <w:p w:rsidR="00595664" w:rsidRDefault="00562FF3" w:rsidP="005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9.66</w:t>
            </w:r>
          </w:p>
        </w:tc>
      </w:tr>
    </w:tbl>
    <w:p w:rsidR="00595664" w:rsidRDefault="00595664" w:rsidP="00C66F92"/>
    <w:p w:rsidR="0092509F" w:rsidRDefault="00505A30" w:rsidP="00C66F9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8B3FE3C" wp14:editId="6C2D0C8D">
            <wp:simplePos x="0" y="0"/>
            <wp:positionH relativeFrom="column">
              <wp:posOffset>-187200</wp:posOffset>
            </wp:positionH>
            <wp:positionV relativeFrom="paragraph">
              <wp:posOffset>287020</wp:posOffset>
            </wp:positionV>
            <wp:extent cx="6120000" cy="3391200"/>
            <wp:effectExtent l="0" t="0" r="14605" b="0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95664" w:rsidRDefault="00595664" w:rsidP="0092509F">
      <w:pPr>
        <w:jc w:val="center"/>
      </w:pPr>
    </w:p>
    <w:p w:rsidR="009957BA" w:rsidRDefault="009957BA" w:rsidP="00C66F92"/>
    <w:p w:rsidR="009957BA" w:rsidRDefault="009957BA" w:rsidP="00C66F92"/>
    <w:p w:rsidR="00505A30" w:rsidRDefault="00505A30" w:rsidP="0092509F">
      <w:pPr>
        <w:jc w:val="center"/>
        <w:rPr>
          <w:b/>
          <w:sz w:val="32"/>
        </w:rPr>
      </w:pPr>
    </w:p>
    <w:p w:rsidR="0092509F" w:rsidRPr="0092509F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Cuidados Intensivos Neonatales (UCIN)</w:t>
      </w:r>
    </w:p>
    <w:tbl>
      <w:tblPr>
        <w:tblStyle w:val="Tabladecuadrcula1clara-nfasis4"/>
        <w:tblpPr w:leftFromText="141" w:rightFromText="141" w:vertAnchor="page" w:horzAnchor="margin" w:tblpY="233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5A30" w:rsidTr="001C2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505A30" w:rsidRDefault="00505A30" w:rsidP="001C2557">
            <w:pPr>
              <w:jc w:val="center"/>
            </w:pPr>
            <w:r>
              <w:t>Días de Terapia Antimicrobiana en el servicio de UCIN HIES (ENERO-ABRIL 2025)</w:t>
            </w:r>
          </w:p>
          <w:p w:rsidR="00505A30" w:rsidRDefault="00505A30" w:rsidP="001C2557">
            <w:pPr>
              <w:jc w:val="center"/>
            </w:pPr>
            <w:r>
              <w:t>GRUPO VIGILANCIA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Cefalotina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4.07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Cefuroxima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18.8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Cefotaxima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Ceftriaxona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4.58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Cefixima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5.08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3.05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Cefepime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44.7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Meropenem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132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Vancomicina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Ciprofloxacino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Claritromicina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42.7</w:t>
            </w:r>
          </w:p>
        </w:tc>
      </w:tr>
      <w:tr w:rsidR="00505A30" w:rsidTr="001C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05A30" w:rsidRDefault="00505A30" w:rsidP="001C2557">
            <w:pPr>
              <w:jc w:val="center"/>
            </w:pPr>
            <w:proofErr w:type="spellStart"/>
            <w:r>
              <w:t>Tobramicina</w:t>
            </w:r>
            <w:proofErr w:type="spellEnd"/>
          </w:p>
        </w:tc>
        <w:tc>
          <w:tcPr>
            <w:tcW w:w="4414" w:type="dxa"/>
          </w:tcPr>
          <w:p w:rsidR="00505A30" w:rsidRDefault="00505A30" w:rsidP="001C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64.6</w:t>
            </w:r>
          </w:p>
        </w:tc>
      </w:tr>
    </w:tbl>
    <w:p w:rsidR="00975149" w:rsidRDefault="00975149" w:rsidP="00C66F92"/>
    <w:p w:rsidR="001C2557" w:rsidRDefault="001C2557" w:rsidP="00C66F92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32F0EBA" wp14:editId="5F54AA8B">
            <wp:simplePos x="0" y="0"/>
            <wp:positionH relativeFrom="column">
              <wp:posOffset>-57598</wp:posOffset>
            </wp:positionH>
            <wp:positionV relativeFrom="paragraph">
              <wp:posOffset>2788770</wp:posOffset>
            </wp:positionV>
            <wp:extent cx="5738400" cy="3422680"/>
            <wp:effectExtent l="0" t="0" r="15240" b="6350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75149" w:rsidRDefault="00975149" w:rsidP="001C2557"/>
    <w:tbl>
      <w:tblPr>
        <w:tblStyle w:val="Tabladecuadrcula1clara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535E8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B535E8" w:rsidRDefault="00B535E8" w:rsidP="008761C8">
            <w:pPr>
              <w:jc w:val="center"/>
            </w:pPr>
            <w:r>
              <w:t xml:space="preserve">Días de Terapia Antimicrobiana en el servicio de UCIN GRUPO VIGILANCIA </w:t>
            </w:r>
          </w:p>
          <w:p w:rsidR="00B535E8" w:rsidRDefault="00B535E8" w:rsidP="008761C8">
            <w:pPr>
              <w:jc w:val="center"/>
            </w:pPr>
            <w:r>
              <w:t>Enero-Abril 2024 (Sin consumo Enero-Abril 2025)</w:t>
            </w:r>
          </w:p>
        </w:tc>
      </w:tr>
      <w:tr w:rsidR="00B535E8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535E8" w:rsidRDefault="00B535E8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B535E8" w:rsidRDefault="00B535E8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B535E8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535E8" w:rsidRDefault="00B535E8" w:rsidP="008761C8">
            <w:pPr>
              <w:jc w:val="center"/>
            </w:pPr>
            <w:proofErr w:type="spellStart"/>
            <w:r>
              <w:t>Piperacilina</w:t>
            </w:r>
            <w:proofErr w:type="spellEnd"/>
            <w:r>
              <w:t xml:space="preserve"> / 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4414" w:type="dxa"/>
          </w:tcPr>
          <w:p w:rsidR="00B535E8" w:rsidRDefault="00975149" w:rsidP="0097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26.56</w:t>
            </w:r>
          </w:p>
        </w:tc>
      </w:tr>
      <w:tr w:rsidR="00B535E8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535E8" w:rsidRDefault="00B535E8" w:rsidP="00B535E8">
            <w:pPr>
              <w:jc w:val="center"/>
            </w:pPr>
            <w:proofErr w:type="spellStart"/>
            <w:r>
              <w:t>Cefoxitina</w:t>
            </w:r>
            <w:proofErr w:type="spellEnd"/>
          </w:p>
        </w:tc>
        <w:tc>
          <w:tcPr>
            <w:tcW w:w="4414" w:type="dxa"/>
          </w:tcPr>
          <w:p w:rsidR="00B535E8" w:rsidRDefault="00975149" w:rsidP="0097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5.62</w:t>
            </w:r>
          </w:p>
        </w:tc>
      </w:tr>
      <w:tr w:rsidR="00B535E8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535E8" w:rsidRDefault="00B535E8" w:rsidP="008761C8">
            <w:pPr>
              <w:jc w:val="center"/>
            </w:pPr>
            <w:proofErr w:type="spellStart"/>
            <w:r>
              <w:t>Anfotericina</w:t>
            </w:r>
            <w:proofErr w:type="spellEnd"/>
            <w:r>
              <w:t xml:space="preserve"> B</w:t>
            </w:r>
          </w:p>
        </w:tc>
        <w:tc>
          <w:tcPr>
            <w:tcW w:w="4414" w:type="dxa"/>
          </w:tcPr>
          <w:p w:rsidR="00B535E8" w:rsidRDefault="00975149" w:rsidP="0097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16.85</w:t>
            </w:r>
          </w:p>
        </w:tc>
        <w:bookmarkStart w:id="0" w:name="_GoBack"/>
        <w:bookmarkEnd w:id="0"/>
      </w:tr>
    </w:tbl>
    <w:p w:rsidR="003A0B83" w:rsidRDefault="003A0B83" w:rsidP="00505A30">
      <w:pPr>
        <w:rPr>
          <w:b/>
          <w:sz w:val="32"/>
        </w:rPr>
      </w:pPr>
    </w:p>
    <w:p w:rsidR="00975149" w:rsidRPr="0092509F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t>Unidad de Cuidados Intensivos Neonatales (UCIN)</w:t>
      </w:r>
    </w:p>
    <w:p w:rsidR="00975149" w:rsidRDefault="00975149" w:rsidP="00C66F92"/>
    <w:tbl>
      <w:tblPr>
        <w:tblStyle w:val="Tabladecuadrcula1Claro-nfasis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410"/>
        <w:gridCol w:w="4408"/>
      </w:tblGrid>
      <w:tr w:rsidR="00C66F92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single" w:sz="12" w:space="0" w:color="FF0000"/>
            </w:tcBorders>
            <w:shd w:val="clear" w:color="auto" w:fill="F53C37"/>
          </w:tcPr>
          <w:p w:rsidR="00C66F92" w:rsidRDefault="00C66F92" w:rsidP="008761C8">
            <w:pPr>
              <w:jc w:val="center"/>
            </w:pPr>
            <w:r>
              <w:t>Días de Terapia Antimicrobiana en el</w:t>
            </w:r>
            <w:r w:rsidR="00A309EA">
              <w:t xml:space="preserve"> servicio de UCIN</w:t>
            </w:r>
            <w:r>
              <w:t xml:space="preserve"> HIE (ENERO-ABRIL 2025)</w:t>
            </w:r>
          </w:p>
          <w:p w:rsidR="00C66F92" w:rsidRDefault="00C66F92" w:rsidP="008761C8">
            <w:pPr>
              <w:jc w:val="center"/>
            </w:pPr>
            <w:r>
              <w:t>GRUPO reserva</w:t>
            </w:r>
          </w:p>
        </w:tc>
      </w:tr>
      <w:tr w:rsidR="00C66F9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FF0000"/>
            </w:tcBorders>
          </w:tcPr>
          <w:p w:rsidR="00C66F92" w:rsidRDefault="00C66F92" w:rsidP="008761C8">
            <w:pPr>
              <w:jc w:val="center"/>
            </w:pPr>
            <w:r>
              <w:t>ANTIMICROBIANO</w:t>
            </w:r>
          </w:p>
        </w:tc>
        <w:tc>
          <w:tcPr>
            <w:tcW w:w="4408" w:type="dxa"/>
            <w:tcBorders>
              <w:top w:val="single" w:sz="12" w:space="0" w:color="FF0000"/>
            </w:tcBorders>
          </w:tcPr>
          <w:p w:rsidR="00C66F92" w:rsidRDefault="00C66F92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C66F9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C66F92" w:rsidRDefault="00A309EA" w:rsidP="008761C8">
            <w:pPr>
              <w:jc w:val="center"/>
            </w:pPr>
            <w:proofErr w:type="spellStart"/>
            <w:r>
              <w:t>Linezolid</w:t>
            </w:r>
            <w:proofErr w:type="spellEnd"/>
          </w:p>
        </w:tc>
        <w:tc>
          <w:tcPr>
            <w:tcW w:w="4408" w:type="dxa"/>
          </w:tcPr>
          <w:p w:rsidR="00C66F92" w:rsidRDefault="00F906DA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6.61</w:t>
            </w:r>
          </w:p>
        </w:tc>
      </w:tr>
      <w:tr w:rsidR="00C66F9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C66F92" w:rsidRDefault="00B535E8" w:rsidP="008761C8">
            <w:pPr>
              <w:jc w:val="center"/>
            </w:pPr>
            <w:proofErr w:type="spellStart"/>
            <w:r>
              <w:t>Colistina</w:t>
            </w:r>
            <w:proofErr w:type="spellEnd"/>
          </w:p>
        </w:tc>
        <w:tc>
          <w:tcPr>
            <w:tcW w:w="4408" w:type="dxa"/>
          </w:tcPr>
          <w:p w:rsidR="00C66F92" w:rsidRDefault="00F906DA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C66F9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C66F92" w:rsidRDefault="00B535E8" w:rsidP="008761C8">
            <w:pPr>
              <w:jc w:val="center"/>
            </w:pPr>
            <w:proofErr w:type="spellStart"/>
            <w:r>
              <w:t>Caspofungina</w:t>
            </w:r>
            <w:proofErr w:type="spellEnd"/>
          </w:p>
        </w:tc>
        <w:tc>
          <w:tcPr>
            <w:tcW w:w="4408" w:type="dxa"/>
          </w:tcPr>
          <w:p w:rsidR="00C66F92" w:rsidRDefault="00F906DA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3.56</w:t>
            </w:r>
          </w:p>
        </w:tc>
      </w:tr>
    </w:tbl>
    <w:p w:rsidR="00A309EA" w:rsidRDefault="00A309EA" w:rsidP="00505A30"/>
    <w:p w:rsidR="00505A30" w:rsidRDefault="00505A30" w:rsidP="00505A30"/>
    <w:p w:rsidR="00A309EA" w:rsidRDefault="00A309EA" w:rsidP="00A309EA"/>
    <w:p w:rsidR="0092509F" w:rsidRDefault="00F906DA" w:rsidP="00A309EA">
      <w:r>
        <w:rPr>
          <w:noProof/>
          <w:lang w:eastAsia="es-MX"/>
        </w:rPr>
        <w:drawing>
          <wp:inline distT="0" distB="0" distL="0" distR="0" wp14:anchorId="652F196B" wp14:editId="5AEF1575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509F" w:rsidRDefault="0092509F" w:rsidP="00A309EA"/>
    <w:p w:rsidR="0092509F" w:rsidRDefault="0092509F" w:rsidP="00A309EA"/>
    <w:p w:rsidR="0092509F" w:rsidRDefault="0092509F" w:rsidP="00A309EA"/>
    <w:p w:rsidR="0092509F" w:rsidRDefault="0092509F" w:rsidP="00A309EA"/>
    <w:p w:rsidR="0092509F" w:rsidRDefault="0092509F" w:rsidP="00A309EA"/>
    <w:p w:rsidR="0092509F" w:rsidRDefault="0092509F" w:rsidP="00A309EA"/>
    <w:p w:rsidR="0092509F" w:rsidRDefault="0092509F" w:rsidP="00A309EA"/>
    <w:p w:rsidR="0092509F" w:rsidRPr="0092509F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Terapia Intermedia Neonatal (UTIN)</w:t>
      </w:r>
    </w:p>
    <w:tbl>
      <w:tblPr>
        <w:tblStyle w:val="Tabladecuadrcula1clara-nfasis6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2509F" w:rsidTr="0092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12" w:space="0" w:color="70AD47" w:themeColor="accent6"/>
            </w:tcBorders>
            <w:shd w:val="clear" w:color="auto" w:fill="C5E0B3" w:themeFill="accent6" w:themeFillTint="66"/>
          </w:tcPr>
          <w:p w:rsidR="0092509F" w:rsidRDefault="0092509F" w:rsidP="0092509F">
            <w:pPr>
              <w:jc w:val="center"/>
            </w:pPr>
            <w:r>
              <w:t>Días de Terapia Antimicrobiana en el servicio de UTIN a HIES (ENERO-ABRIL 2025)</w:t>
            </w:r>
          </w:p>
          <w:p w:rsidR="0092509F" w:rsidRDefault="0092509F" w:rsidP="0092509F">
            <w:pPr>
              <w:jc w:val="center"/>
            </w:pPr>
            <w:r>
              <w:t xml:space="preserve">GRUPO ACCESO 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92509F" w:rsidRDefault="0092509F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r>
              <w:t>Penicilina G</w:t>
            </w:r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38.2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r>
              <w:t xml:space="preserve">Amoxicilina/Acido </w:t>
            </w:r>
            <w:proofErr w:type="spellStart"/>
            <w:r>
              <w:t>Clavulanico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7.81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Trimetroprim</w:t>
            </w:r>
            <w:proofErr w:type="spellEnd"/>
            <w:r>
              <w:t>/</w:t>
            </w:r>
            <w:proofErr w:type="spellStart"/>
            <w:r>
              <w:t>Sulfametoxazol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7.81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r>
              <w:t>Ampicilina</w:t>
            </w:r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349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Amikacina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Clindamicina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4.34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r>
              <w:t>Cloranfenicol</w:t>
            </w:r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72.9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Mupirocina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6.07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Fluconazol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17.3</w:t>
            </w:r>
          </w:p>
        </w:tc>
      </w:tr>
      <w:tr w:rsidR="0092509F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2509F" w:rsidRDefault="0092509F" w:rsidP="0092509F">
            <w:pPr>
              <w:jc w:val="center"/>
            </w:pPr>
            <w:proofErr w:type="spellStart"/>
            <w:r>
              <w:t>Miconazol</w:t>
            </w:r>
            <w:proofErr w:type="spellEnd"/>
          </w:p>
        </w:tc>
        <w:tc>
          <w:tcPr>
            <w:tcW w:w="4414" w:type="dxa"/>
          </w:tcPr>
          <w:p w:rsidR="0092509F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</w:t>
            </w:r>
          </w:p>
        </w:tc>
      </w:tr>
      <w:tr w:rsidR="00B1291A" w:rsidTr="00925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1291A" w:rsidRDefault="00B1291A" w:rsidP="0092509F">
            <w:pPr>
              <w:jc w:val="center"/>
            </w:pPr>
            <w:proofErr w:type="spellStart"/>
            <w:r>
              <w:t>Metronidazol</w:t>
            </w:r>
            <w:proofErr w:type="spellEnd"/>
          </w:p>
        </w:tc>
        <w:tc>
          <w:tcPr>
            <w:tcW w:w="4414" w:type="dxa"/>
          </w:tcPr>
          <w:p w:rsidR="00B1291A" w:rsidRDefault="00B1291A" w:rsidP="00925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</w:tbl>
    <w:p w:rsidR="0092509F" w:rsidRDefault="00505A30" w:rsidP="00A309EA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64844D9" wp14:editId="5D861D29">
            <wp:simplePos x="0" y="0"/>
            <wp:positionH relativeFrom="column">
              <wp:posOffset>-425265</wp:posOffset>
            </wp:positionH>
            <wp:positionV relativeFrom="paragraph">
              <wp:posOffset>3107700</wp:posOffset>
            </wp:positionV>
            <wp:extent cx="6551930" cy="3674745"/>
            <wp:effectExtent l="0" t="0" r="1270" b="1905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09F" w:rsidRDefault="0092509F" w:rsidP="00A309EA"/>
    <w:p w:rsidR="008F0B43" w:rsidRDefault="008F0B43" w:rsidP="0092509F">
      <w:pPr>
        <w:jc w:val="center"/>
      </w:pPr>
    </w:p>
    <w:p w:rsidR="00B1291A" w:rsidRDefault="00B1291A" w:rsidP="0092509F">
      <w:pPr>
        <w:jc w:val="center"/>
        <w:rPr>
          <w:b/>
          <w:sz w:val="32"/>
        </w:rPr>
      </w:pPr>
    </w:p>
    <w:p w:rsidR="008F0B43" w:rsidRPr="0092509F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de Terapia Intermedia Neonatal (UTIN)</w:t>
      </w:r>
    </w:p>
    <w:p w:rsidR="008F0B43" w:rsidRDefault="008F0B43" w:rsidP="00A309EA"/>
    <w:tbl>
      <w:tblPr>
        <w:tblStyle w:val="Tabladecuadrcula1clara-nfasis4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0B43" w:rsidTr="008F0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8F0B43" w:rsidRDefault="008F0B43" w:rsidP="008F0B43">
            <w:pPr>
              <w:jc w:val="center"/>
            </w:pPr>
            <w:r>
              <w:t>Días de Terapia Antimicrobiana en el servicio de UTIN HIE (ENERO-ABRIL 2025)</w:t>
            </w:r>
          </w:p>
          <w:p w:rsidR="008F0B43" w:rsidRDefault="008F0B43" w:rsidP="008F0B43">
            <w:pPr>
              <w:jc w:val="center"/>
            </w:pPr>
            <w:r>
              <w:t>GRUPO VIGILANCIA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8F0B43" w:rsidRDefault="008F0B43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Cefotaxima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70.3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Cefuroxima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20.8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Cefepime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13.9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Meropenem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16.5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Vancomicina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78.9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Ciprofloxacino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16.5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Claritromicina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17.3</w:t>
            </w:r>
          </w:p>
        </w:tc>
      </w:tr>
      <w:tr w:rsidR="008F0B43" w:rsidTr="008F0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F0B43" w:rsidRDefault="008F0B43" w:rsidP="008F0B43">
            <w:pPr>
              <w:jc w:val="center"/>
            </w:pPr>
            <w:proofErr w:type="spellStart"/>
            <w:r>
              <w:t>Tobramicina</w:t>
            </w:r>
            <w:proofErr w:type="spellEnd"/>
          </w:p>
        </w:tc>
        <w:tc>
          <w:tcPr>
            <w:tcW w:w="4414" w:type="dxa"/>
          </w:tcPr>
          <w:p w:rsidR="008F0B43" w:rsidRDefault="00C759AA" w:rsidP="008F0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55.5</w:t>
            </w:r>
          </w:p>
        </w:tc>
      </w:tr>
    </w:tbl>
    <w:p w:rsidR="008F0B43" w:rsidRDefault="008F0B43" w:rsidP="00A309EA"/>
    <w:p w:rsidR="008F0B43" w:rsidRDefault="008F0B43" w:rsidP="00CE1F7C">
      <w:pPr>
        <w:jc w:val="center"/>
      </w:pPr>
      <w:r>
        <w:rPr>
          <w:noProof/>
          <w:lang w:eastAsia="es-MX"/>
        </w:rPr>
        <w:drawing>
          <wp:inline distT="0" distB="0" distL="0" distR="0" wp14:anchorId="7D94476E" wp14:editId="3C854D62">
            <wp:extent cx="5774400" cy="3308400"/>
            <wp:effectExtent l="0" t="0" r="17145" b="63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F0B43" w:rsidRDefault="008F0B43" w:rsidP="00A309EA"/>
    <w:tbl>
      <w:tblPr>
        <w:tblStyle w:val="Tabladecuadrcula1clara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3EF2" w:rsidTr="00876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FFD966" w:themeFill="accent4" w:themeFillTint="99"/>
          </w:tcPr>
          <w:p w:rsidR="006D3EF2" w:rsidRDefault="006D3EF2" w:rsidP="008761C8">
            <w:pPr>
              <w:jc w:val="center"/>
            </w:pPr>
            <w:r>
              <w:t xml:space="preserve">Días de Terapia Antimicrobiana en el servicio de </w:t>
            </w:r>
            <w:proofErr w:type="spellStart"/>
            <w:r>
              <w:t>Utin</w:t>
            </w:r>
            <w:proofErr w:type="spellEnd"/>
            <w:r>
              <w:t xml:space="preserve"> GRUPO VIGILANCIA </w:t>
            </w:r>
          </w:p>
          <w:p w:rsidR="006D3EF2" w:rsidRDefault="006D3EF2" w:rsidP="008761C8">
            <w:pPr>
              <w:jc w:val="center"/>
            </w:pPr>
            <w:r>
              <w:t>Enero-Abril 2024 (Sin consumo Enero-Abril 2025)</w:t>
            </w:r>
          </w:p>
        </w:tc>
      </w:tr>
      <w:tr w:rsidR="006D3EF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D3EF2" w:rsidRDefault="006D3EF2" w:rsidP="008761C8">
            <w:pPr>
              <w:jc w:val="center"/>
            </w:pPr>
            <w:r>
              <w:t>ANTIMICROBIANO</w:t>
            </w:r>
          </w:p>
        </w:tc>
        <w:tc>
          <w:tcPr>
            <w:tcW w:w="4414" w:type="dxa"/>
          </w:tcPr>
          <w:p w:rsidR="006D3EF2" w:rsidRDefault="006D3EF2" w:rsidP="0087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6D3EF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D3EF2" w:rsidRDefault="006D3EF2" w:rsidP="008761C8">
            <w:pPr>
              <w:jc w:val="center"/>
            </w:pPr>
            <w:proofErr w:type="spellStart"/>
            <w:r>
              <w:t>Piperacilina</w:t>
            </w:r>
            <w:proofErr w:type="spellEnd"/>
            <w:r>
              <w:t xml:space="preserve"> / 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4414" w:type="dxa"/>
          </w:tcPr>
          <w:p w:rsidR="006D3EF2" w:rsidRDefault="00975149" w:rsidP="0097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2.12</w:t>
            </w:r>
          </w:p>
        </w:tc>
      </w:tr>
      <w:tr w:rsidR="006D3EF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D3EF2" w:rsidRDefault="006D3EF2" w:rsidP="008761C8">
            <w:pPr>
              <w:jc w:val="center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4414" w:type="dxa"/>
          </w:tcPr>
          <w:p w:rsidR="006D3EF2" w:rsidRDefault="00975149" w:rsidP="0097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18.4</w:t>
            </w:r>
          </w:p>
        </w:tc>
      </w:tr>
      <w:tr w:rsidR="006D3EF2" w:rsidTr="0087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D3EF2" w:rsidRDefault="006D3EF2" w:rsidP="008761C8">
            <w:pPr>
              <w:jc w:val="center"/>
            </w:pPr>
            <w:proofErr w:type="spellStart"/>
            <w:r>
              <w:t>Cefixima</w:t>
            </w:r>
            <w:proofErr w:type="spellEnd"/>
          </w:p>
        </w:tc>
        <w:tc>
          <w:tcPr>
            <w:tcW w:w="4414" w:type="dxa"/>
          </w:tcPr>
          <w:p w:rsidR="006D3EF2" w:rsidRDefault="00975149" w:rsidP="0097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</w:t>
            </w:r>
          </w:p>
        </w:tc>
      </w:tr>
    </w:tbl>
    <w:p w:rsidR="008F0B43" w:rsidRDefault="008F0B43" w:rsidP="00A309EA"/>
    <w:p w:rsidR="002E073E" w:rsidRDefault="002E073E" w:rsidP="00A309EA"/>
    <w:p w:rsidR="006D3EF2" w:rsidRDefault="0092509F" w:rsidP="0092509F">
      <w:pPr>
        <w:jc w:val="center"/>
        <w:rPr>
          <w:b/>
          <w:sz w:val="32"/>
        </w:rPr>
      </w:pPr>
      <w:r>
        <w:rPr>
          <w:b/>
          <w:sz w:val="32"/>
        </w:rPr>
        <w:t>Unidad de Terapia Intermedia Neonatal (UTIN)</w:t>
      </w:r>
    </w:p>
    <w:p w:rsidR="0092509F" w:rsidRPr="0092509F" w:rsidRDefault="0092509F" w:rsidP="0092509F">
      <w:pPr>
        <w:jc w:val="center"/>
        <w:rPr>
          <w:b/>
          <w:sz w:val="32"/>
        </w:rPr>
      </w:pPr>
    </w:p>
    <w:tbl>
      <w:tblPr>
        <w:tblStyle w:val="Tabladecuadrcula1Claro-nfasis2"/>
        <w:tblpPr w:leftFromText="141" w:rightFromText="141" w:vertAnchor="text" w:horzAnchor="margin" w:tblpY="26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410"/>
        <w:gridCol w:w="4408"/>
      </w:tblGrid>
      <w:tr w:rsidR="00F93647" w:rsidTr="00F93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single" w:sz="12" w:space="0" w:color="FF0000"/>
            </w:tcBorders>
            <w:shd w:val="clear" w:color="auto" w:fill="F53C37"/>
          </w:tcPr>
          <w:p w:rsidR="00F93647" w:rsidRDefault="00F93647" w:rsidP="00F93647">
            <w:pPr>
              <w:jc w:val="center"/>
            </w:pPr>
            <w:r>
              <w:t>Días de Terapia Antimicrobiana en el servicio de UTIN HIE (ENERO-ABRIL 2025)</w:t>
            </w:r>
          </w:p>
          <w:p w:rsidR="00F93647" w:rsidRDefault="00F93647" w:rsidP="00F93647">
            <w:pPr>
              <w:jc w:val="center"/>
            </w:pPr>
            <w:r>
              <w:t>GRUPO reserva</w:t>
            </w:r>
          </w:p>
        </w:tc>
      </w:tr>
      <w:tr w:rsidR="00F93647" w:rsidTr="00F93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single" w:sz="12" w:space="0" w:color="FF0000"/>
            </w:tcBorders>
          </w:tcPr>
          <w:p w:rsidR="00F93647" w:rsidRDefault="00F93647" w:rsidP="00F93647">
            <w:pPr>
              <w:jc w:val="center"/>
            </w:pPr>
            <w:r>
              <w:t>ANTIMICROBIANO</w:t>
            </w:r>
          </w:p>
        </w:tc>
        <w:tc>
          <w:tcPr>
            <w:tcW w:w="4408" w:type="dxa"/>
            <w:tcBorders>
              <w:top w:val="single" w:sz="12" w:space="0" w:color="FF0000"/>
            </w:tcBorders>
          </w:tcPr>
          <w:p w:rsidR="00F93647" w:rsidRDefault="00F93647" w:rsidP="00F93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 -</w:t>
            </w:r>
            <w:proofErr w:type="spellStart"/>
            <w:r>
              <w:t>std</w:t>
            </w:r>
            <w:proofErr w:type="spellEnd"/>
          </w:p>
        </w:tc>
      </w:tr>
      <w:tr w:rsidR="00F93647" w:rsidTr="00F93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F93647" w:rsidRDefault="00F93647" w:rsidP="00F93647">
            <w:pPr>
              <w:jc w:val="center"/>
            </w:pPr>
            <w:proofErr w:type="spellStart"/>
            <w:r>
              <w:t>Linezolid</w:t>
            </w:r>
            <w:proofErr w:type="spellEnd"/>
          </w:p>
        </w:tc>
        <w:tc>
          <w:tcPr>
            <w:tcW w:w="4408" w:type="dxa"/>
          </w:tcPr>
          <w:p w:rsidR="00F93647" w:rsidRDefault="002E073E" w:rsidP="00F93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</w:t>
            </w:r>
          </w:p>
        </w:tc>
      </w:tr>
      <w:tr w:rsidR="00F93647" w:rsidTr="00F93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F93647" w:rsidRDefault="006D3EF2" w:rsidP="00F93647">
            <w:pPr>
              <w:jc w:val="center"/>
            </w:pPr>
            <w:proofErr w:type="spellStart"/>
            <w:r>
              <w:t>Caspofungina</w:t>
            </w:r>
            <w:proofErr w:type="spellEnd"/>
          </w:p>
        </w:tc>
        <w:tc>
          <w:tcPr>
            <w:tcW w:w="4408" w:type="dxa"/>
          </w:tcPr>
          <w:p w:rsidR="00F93647" w:rsidRDefault="002E073E" w:rsidP="00F93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8F0B43" w:rsidRDefault="008F0B43" w:rsidP="00A309EA"/>
    <w:p w:rsidR="0092509F" w:rsidRDefault="0092509F" w:rsidP="00A309EA"/>
    <w:p w:rsidR="00A309EA" w:rsidRDefault="00F93647" w:rsidP="0092509F">
      <w:pPr>
        <w:jc w:val="center"/>
      </w:pPr>
      <w:r>
        <w:rPr>
          <w:noProof/>
          <w:lang w:eastAsia="es-MX"/>
        </w:rPr>
        <w:drawing>
          <wp:inline distT="0" distB="0" distL="0" distR="0" wp14:anchorId="3F245E25" wp14:editId="713C8DAD">
            <wp:extent cx="5486400" cy="32004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A309EA" w:rsidSect="007843E4">
      <w:footerReference w:type="default" r:id="rId20"/>
      <w:headerReference w:type="first" r:id="rId21"/>
      <w:pgSz w:w="12240" w:h="15840"/>
      <w:pgMar w:top="1417" w:right="1701" w:bottom="1417" w:left="1701" w:header="5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4E" w:rsidRDefault="0005454E" w:rsidP="008B571B">
      <w:pPr>
        <w:spacing w:after="0" w:line="240" w:lineRule="auto"/>
      </w:pPr>
      <w:r>
        <w:separator/>
      </w:r>
    </w:p>
  </w:endnote>
  <w:endnote w:type="continuationSeparator" w:id="0">
    <w:p w:rsidR="0005454E" w:rsidRDefault="0005454E" w:rsidP="008B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544993"/>
      <w:docPartObj>
        <w:docPartGallery w:val="Page Numbers (Bottom of Page)"/>
        <w:docPartUnique/>
      </w:docPartObj>
    </w:sdtPr>
    <w:sdtContent>
      <w:p w:rsidR="006C6343" w:rsidRDefault="006C634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57" w:rsidRPr="001C2557">
          <w:rPr>
            <w:noProof/>
            <w:lang w:val="es-ES"/>
          </w:rPr>
          <w:t>15</w:t>
        </w:r>
        <w:r>
          <w:fldChar w:fldCharType="end"/>
        </w:r>
      </w:p>
    </w:sdtContent>
  </w:sdt>
  <w:p w:rsidR="006C6343" w:rsidRDefault="006C63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4E" w:rsidRDefault="0005454E" w:rsidP="008B571B">
      <w:pPr>
        <w:spacing w:after="0" w:line="240" w:lineRule="auto"/>
      </w:pPr>
      <w:r>
        <w:separator/>
      </w:r>
    </w:p>
  </w:footnote>
  <w:footnote w:type="continuationSeparator" w:id="0">
    <w:p w:rsidR="0005454E" w:rsidRDefault="0005454E" w:rsidP="008B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43" w:rsidRDefault="006C6343" w:rsidP="007843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C28F719" wp14:editId="1A9C2744">
          <wp:simplePos x="0" y="0"/>
          <wp:positionH relativeFrom="column">
            <wp:posOffset>-784860</wp:posOffset>
          </wp:positionH>
          <wp:positionV relativeFrom="paragraph">
            <wp:posOffset>49530</wp:posOffset>
          </wp:positionV>
          <wp:extent cx="2466975" cy="749935"/>
          <wp:effectExtent l="0" t="0" r="9525" b="0"/>
          <wp:wrapThrough wrapText="bothSides">
            <wp:wrapPolygon edited="0">
              <wp:start x="0" y="0"/>
              <wp:lineTo x="0" y="20850"/>
              <wp:lineTo x="21517" y="20850"/>
              <wp:lineTo x="21517" y="0"/>
              <wp:lineTo x="0" y="0"/>
            </wp:wrapPolygon>
          </wp:wrapThrough>
          <wp:docPr id="16" name="Imagen 16" descr="Archivo:Servicios de Salud IMSS-Bienestar.svg - Wikipedia, la enciclopedia 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:Servicios de Salud IMSS-Bienestar.svg - Wikipedia, la enciclopedia 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31A7AA6" wp14:editId="19DFFC43">
          <wp:simplePos x="0" y="0"/>
          <wp:positionH relativeFrom="column">
            <wp:posOffset>1767205</wp:posOffset>
          </wp:positionH>
          <wp:positionV relativeFrom="paragraph">
            <wp:posOffset>78105</wp:posOffset>
          </wp:positionV>
          <wp:extent cx="678815" cy="671830"/>
          <wp:effectExtent l="0" t="0" r="6985" b="0"/>
          <wp:wrapThrough wrapText="bothSides">
            <wp:wrapPolygon edited="0">
              <wp:start x="2425" y="0"/>
              <wp:lineTo x="0" y="2450"/>
              <wp:lineTo x="0" y="11025"/>
              <wp:lineTo x="9093" y="20824"/>
              <wp:lineTo x="12123" y="20824"/>
              <wp:lineTo x="21216" y="11637"/>
              <wp:lineTo x="21216" y="2450"/>
              <wp:lineTo x="19398" y="0"/>
              <wp:lineTo x="2425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RAZON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BFEB27D" wp14:editId="65124085">
          <wp:simplePos x="0" y="0"/>
          <wp:positionH relativeFrom="column">
            <wp:posOffset>5101590</wp:posOffset>
          </wp:positionH>
          <wp:positionV relativeFrom="paragraph">
            <wp:posOffset>-36195</wp:posOffset>
          </wp:positionV>
          <wp:extent cx="1543050" cy="876300"/>
          <wp:effectExtent l="0" t="0" r="0" b="0"/>
          <wp:wrapSquare wrapText="bothSides"/>
          <wp:docPr id="18" name="Imagen 18" descr="https://lh7-rt.googleusercontent.com/slidesz/AGV_vUeUv9FmPC_uDrnxLLZ5bpHr_IrXztahv-BYC0k7xsW4Ts12SU0Ggrdtgfs9IkUepyDn9pEplvDYlYQG0XtnJnfxmrc0HinFS4botIVLxJPEuSJDwBgeMk38Dhwqe0SpeSPJMM-2nBHhHncoTOesw1O_eKxum6Y7=s2048?key=Z3ofkWNq4E4j3_uYoYxN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slidesz/AGV_vUeUv9FmPC_uDrnxLLZ5bpHr_IrXztahv-BYC0k7xsW4Ts12SU0Ggrdtgfs9IkUepyDn9pEplvDYlYQG0XtnJnfxmrc0HinFS4botIVLxJPEuSJDwBgeMk38Dhwqe0SpeSPJMM-2nBHhHncoTOesw1O_eKxum6Y7=s2048?key=Z3ofkWNq4E4j3_uYoYxNG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6" t="8718" r="4789" b="7693"/>
                  <a:stretch/>
                </pic:blipFill>
                <pic:spPr bwMode="auto">
                  <a:xfrm>
                    <a:off x="0" y="0"/>
                    <a:ext cx="1543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FE"/>
    <w:rsid w:val="000277AB"/>
    <w:rsid w:val="0004634F"/>
    <w:rsid w:val="0005454E"/>
    <w:rsid w:val="000A46C2"/>
    <w:rsid w:val="001011EE"/>
    <w:rsid w:val="001467D4"/>
    <w:rsid w:val="00154FDC"/>
    <w:rsid w:val="001960FE"/>
    <w:rsid w:val="001C2557"/>
    <w:rsid w:val="001E0E52"/>
    <w:rsid w:val="001E2FC3"/>
    <w:rsid w:val="001F345F"/>
    <w:rsid w:val="002377CD"/>
    <w:rsid w:val="00267383"/>
    <w:rsid w:val="00277EC1"/>
    <w:rsid w:val="002E073E"/>
    <w:rsid w:val="00346BC0"/>
    <w:rsid w:val="003A0B83"/>
    <w:rsid w:val="003E4D2E"/>
    <w:rsid w:val="00403793"/>
    <w:rsid w:val="004430AB"/>
    <w:rsid w:val="004922B0"/>
    <w:rsid w:val="004C4396"/>
    <w:rsid w:val="00505A30"/>
    <w:rsid w:val="00505DDD"/>
    <w:rsid w:val="0054535D"/>
    <w:rsid w:val="0055587F"/>
    <w:rsid w:val="00562FF3"/>
    <w:rsid w:val="005821F2"/>
    <w:rsid w:val="00595664"/>
    <w:rsid w:val="005C1C3F"/>
    <w:rsid w:val="005C5D2A"/>
    <w:rsid w:val="005E62FE"/>
    <w:rsid w:val="005E7215"/>
    <w:rsid w:val="00655465"/>
    <w:rsid w:val="006656DB"/>
    <w:rsid w:val="006C6343"/>
    <w:rsid w:val="006D3EF2"/>
    <w:rsid w:val="006E650C"/>
    <w:rsid w:val="006F5D6A"/>
    <w:rsid w:val="0071130D"/>
    <w:rsid w:val="00716E3C"/>
    <w:rsid w:val="00783511"/>
    <w:rsid w:val="007843E4"/>
    <w:rsid w:val="008761C8"/>
    <w:rsid w:val="0088172C"/>
    <w:rsid w:val="00891F13"/>
    <w:rsid w:val="008B571B"/>
    <w:rsid w:val="008F0B43"/>
    <w:rsid w:val="0092509F"/>
    <w:rsid w:val="00973274"/>
    <w:rsid w:val="00975149"/>
    <w:rsid w:val="009957BA"/>
    <w:rsid w:val="009B1C73"/>
    <w:rsid w:val="009D4539"/>
    <w:rsid w:val="009E4C72"/>
    <w:rsid w:val="009F4478"/>
    <w:rsid w:val="00A07887"/>
    <w:rsid w:val="00A309EA"/>
    <w:rsid w:val="00A61AEA"/>
    <w:rsid w:val="00A777CD"/>
    <w:rsid w:val="00B1291A"/>
    <w:rsid w:val="00B535E8"/>
    <w:rsid w:val="00BD6EE9"/>
    <w:rsid w:val="00C331FC"/>
    <w:rsid w:val="00C35A58"/>
    <w:rsid w:val="00C65535"/>
    <w:rsid w:val="00C66F92"/>
    <w:rsid w:val="00C759AA"/>
    <w:rsid w:val="00CC125F"/>
    <w:rsid w:val="00CE1F7C"/>
    <w:rsid w:val="00CF46B1"/>
    <w:rsid w:val="00D2342E"/>
    <w:rsid w:val="00D51C7B"/>
    <w:rsid w:val="00D70F34"/>
    <w:rsid w:val="00D728EF"/>
    <w:rsid w:val="00DB3977"/>
    <w:rsid w:val="00DE5126"/>
    <w:rsid w:val="00E90908"/>
    <w:rsid w:val="00EC4788"/>
    <w:rsid w:val="00ED1BC4"/>
    <w:rsid w:val="00F906DA"/>
    <w:rsid w:val="00F93647"/>
    <w:rsid w:val="00FB39A1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93747-5A18-4A69-9311-88CB3D6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6">
    <w:name w:val="Grid Table 1 Light Accent 6"/>
    <w:basedOn w:val="Tablanormal"/>
    <w:uiPriority w:val="46"/>
    <w:rsid w:val="008B5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4">
    <w:name w:val="Grid Table 2 Accent 4"/>
    <w:basedOn w:val="Tablanormal"/>
    <w:uiPriority w:val="47"/>
    <w:rsid w:val="008B5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normal1">
    <w:name w:val="Plain Table 1"/>
    <w:basedOn w:val="Tablanormal"/>
    <w:uiPriority w:val="41"/>
    <w:rsid w:val="008B5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8B571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8B5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B57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8B5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71B"/>
  </w:style>
  <w:style w:type="paragraph" w:styleId="Piedepgina">
    <w:name w:val="footer"/>
    <w:basedOn w:val="Normal"/>
    <w:link w:val="PiedepginaCar"/>
    <w:uiPriority w:val="99"/>
    <w:unhideWhenUsed/>
    <w:rsid w:val="008B5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71B"/>
  </w:style>
  <w:style w:type="paragraph" w:styleId="Sinespaciado">
    <w:name w:val="No Spacing"/>
    <w:link w:val="SinespaciadoCar"/>
    <w:uiPriority w:val="1"/>
    <w:qFormat/>
    <w:rsid w:val="0097514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149"/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76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761C8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8761C8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761C8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8761C8"/>
    <w:pPr>
      <w:spacing w:after="100"/>
      <w:ind w:left="440"/>
    </w:pPr>
    <w:rPr>
      <w:rFonts w:eastAsiaTheme="minorEastAsia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Acceso "DOT" Oncología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Hoja1!$A$2:$A$8</c:f>
              <c:strCache>
                <c:ptCount val="7"/>
                <c:pt idx="0">
                  <c:v>Amoxicilina</c:v>
                </c:pt>
                <c:pt idx="1">
                  <c:v>Amikacina</c:v>
                </c:pt>
                <c:pt idx="2">
                  <c:v>TMP</c:v>
                </c:pt>
                <c:pt idx="3">
                  <c:v>Clindamicina</c:v>
                </c:pt>
                <c:pt idx="4">
                  <c:v>Mupirocina</c:v>
                </c:pt>
                <c:pt idx="5">
                  <c:v>Fluconazol</c:v>
                </c:pt>
                <c:pt idx="6">
                  <c:v>Metronidazol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6.85</c:v>
                </c:pt>
                <c:pt idx="1">
                  <c:v>53.08</c:v>
                </c:pt>
                <c:pt idx="2">
                  <c:v>32.53</c:v>
                </c:pt>
                <c:pt idx="3">
                  <c:v>4.5</c:v>
                </c:pt>
                <c:pt idx="4">
                  <c:v>75.34</c:v>
                </c:pt>
                <c:pt idx="5">
                  <c:v>147.26</c:v>
                </c:pt>
                <c:pt idx="6">
                  <c:v>13.7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Hoja1!$A$2:$A$8</c:f>
              <c:strCache>
                <c:ptCount val="7"/>
                <c:pt idx="0">
                  <c:v>Amoxicilina</c:v>
                </c:pt>
                <c:pt idx="1">
                  <c:v>Amikacina</c:v>
                </c:pt>
                <c:pt idx="2">
                  <c:v>TMP</c:v>
                </c:pt>
                <c:pt idx="3">
                  <c:v>Clindamicina</c:v>
                </c:pt>
                <c:pt idx="4">
                  <c:v>Mupirocina</c:v>
                </c:pt>
                <c:pt idx="5">
                  <c:v>Fluconazol</c:v>
                </c:pt>
                <c:pt idx="6">
                  <c:v>Metronidazol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25.9</c:v>
                </c:pt>
                <c:pt idx="1">
                  <c:v>25.9</c:v>
                </c:pt>
                <c:pt idx="2">
                  <c:v>63.5</c:v>
                </c:pt>
                <c:pt idx="3">
                  <c:v>61.2</c:v>
                </c:pt>
                <c:pt idx="4">
                  <c:v>7.06</c:v>
                </c:pt>
                <c:pt idx="5">
                  <c:v>264</c:v>
                </c:pt>
                <c:pt idx="6">
                  <c:v>23.5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68499840"/>
        <c:axId val="-268497664"/>
      </c:barChart>
      <c:catAx>
        <c:axId val="-26849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8497664"/>
        <c:crosses val="autoZero"/>
        <c:auto val="1"/>
        <c:lblAlgn val="ctr"/>
        <c:lblOffset val="100"/>
        <c:noMultiLvlLbl val="0"/>
      </c:catAx>
      <c:valAx>
        <c:axId val="-26849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849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Acceso "DOT" UTIN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Penicilina G</c:v>
                </c:pt>
                <c:pt idx="1">
                  <c:v>Amoxicilina</c:v>
                </c:pt>
                <c:pt idx="2">
                  <c:v>TMP</c:v>
                </c:pt>
                <c:pt idx="3">
                  <c:v>Ampicilina</c:v>
                </c:pt>
                <c:pt idx="4">
                  <c:v>Amikacina</c:v>
                </c:pt>
                <c:pt idx="5">
                  <c:v>Gentamicina</c:v>
                </c:pt>
                <c:pt idx="6">
                  <c:v>Clindamicina</c:v>
                </c:pt>
                <c:pt idx="7">
                  <c:v>Cloranfenicol</c:v>
                </c:pt>
                <c:pt idx="8">
                  <c:v>Mupirocina</c:v>
                </c:pt>
                <c:pt idx="9">
                  <c:v>Fluconazol</c:v>
                </c:pt>
                <c:pt idx="10">
                  <c:v>Miconazol</c:v>
                </c:pt>
                <c:pt idx="11">
                  <c:v>Metronidazol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41</c:v>
                </c:pt>
                <c:pt idx="1">
                  <c:v>0</c:v>
                </c:pt>
                <c:pt idx="2">
                  <c:v>0</c:v>
                </c:pt>
                <c:pt idx="3">
                  <c:v>198</c:v>
                </c:pt>
                <c:pt idx="4">
                  <c:v>10.6</c:v>
                </c:pt>
                <c:pt idx="5">
                  <c:v>221</c:v>
                </c:pt>
                <c:pt idx="6">
                  <c:v>12</c:v>
                </c:pt>
                <c:pt idx="7">
                  <c:v>48.7</c:v>
                </c:pt>
                <c:pt idx="8">
                  <c:v>12</c:v>
                </c:pt>
                <c:pt idx="9">
                  <c:v>29</c:v>
                </c:pt>
                <c:pt idx="10">
                  <c:v>0</c:v>
                </c:pt>
                <c:pt idx="11">
                  <c:v>9.9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Penicilina G</c:v>
                </c:pt>
                <c:pt idx="1">
                  <c:v>Amoxicilina</c:v>
                </c:pt>
                <c:pt idx="2">
                  <c:v>TMP</c:v>
                </c:pt>
                <c:pt idx="3">
                  <c:v>Ampicilina</c:v>
                </c:pt>
                <c:pt idx="4">
                  <c:v>Amikacina</c:v>
                </c:pt>
                <c:pt idx="5">
                  <c:v>Gentamicina</c:v>
                </c:pt>
                <c:pt idx="6">
                  <c:v>Clindamicina</c:v>
                </c:pt>
                <c:pt idx="7">
                  <c:v>Cloranfenicol</c:v>
                </c:pt>
                <c:pt idx="8">
                  <c:v>Mupirocina</c:v>
                </c:pt>
                <c:pt idx="9">
                  <c:v>Fluconazol</c:v>
                </c:pt>
                <c:pt idx="10">
                  <c:v>Miconazol</c:v>
                </c:pt>
                <c:pt idx="11">
                  <c:v>Metronidazol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38.200000000000003</c:v>
                </c:pt>
                <c:pt idx="1">
                  <c:v>7.81</c:v>
                </c:pt>
                <c:pt idx="2">
                  <c:v>7.81</c:v>
                </c:pt>
                <c:pt idx="3">
                  <c:v>349</c:v>
                </c:pt>
                <c:pt idx="4">
                  <c:v>26</c:v>
                </c:pt>
                <c:pt idx="5">
                  <c:v>350</c:v>
                </c:pt>
                <c:pt idx="6">
                  <c:v>4.34</c:v>
                </c:pt>
                <c:pt idx="7">
                  <c:v>72.900000000000006</c:v>
                </c:pt>
                <c:pt idx="8">
                  <c:v>6.07</c:v>
                </c:pt>
                <c:pt idx="9">
                  <c:v>17.3</c:v>
                </c:pt>
                <c:pt idx="10">
                  <c:v>2.6</c:v>
                </c:pt>
                <c:pt idx="1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69998608"/>
        <c:axId val="-269999152"/>
      </c:barChart>
      <c:catAx>
        <c:axId val="-26999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9999152"/>
        <c:crosses val="autoZero"/>
        <c:auto val="1"/>
        <c:lblAlgn val="ctr"/>
        <c:lblOffset val="100"/>
        <c:noMultiLvlLbl val="0"/>
      </c:catAx>
      <c:valAx>
        <c:axId val="-26999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999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Vigilancia "DOT" UTIN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Cefotaxima</c:v>
                </c:pt>
                <c:pt idx="1">
                  <c:v>Cefuroxima</c:v>
                </c:pt>
                <c:pt idx="2">
                  <c:v>Cefepime</c:v>
                </c:pt>
                <c:pt idx="3">
                  <c:v>Meropenem</c:v>
                </c:pt>
                <c:pt idx="4">
                  <c:v>Vancomicina</c:v>
                </c:pt>
                <c:pt idx="5">
                  <c:v>Ciprofloxacino</c:v>
                </c:pt>
                <c:pt idx="6">
                  <c:v>Claritromicina</c:v>
                </c:pt>
                <c:pt idx="7">
                  <c:v>Tobramicina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43.8</c:v>
                </c:pt>
                <c:pt idx="1">
                  <c:v>0</c:v>
                </c:pt>
                <c:pt idx="2">
                  <c:v>58.6</c:v>
                </c:pt>
                <c:pt idx="3">
                  <c:v>36.700000000000003</c:v>
                </c:pt>
                <c:pt idx="4">
                  <c:v>70</c:v>
                </c:pt>
                <c:pt idx="5">
                  <c:v>0</c:v>
                </c:pt>
                <c:pt idx="6">
                  <c:v>7.06</c:v>
                </c:pt>
                <c:pt idx="7">
                  <c:v>86.2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Cefotaxima</c:v>
                </c:pt>
                <c:pt idx="1">
                  <c:v>Cefuroxima</c:v>
                </c:pt>
                <c:pt idx="2">
                  <c:v>Cefepime</c:v>
                </c:pt>
                <c:pt idx="3">
                  <c:v>Meropenem</c:v>
                </c:pt>
                <c:pt idx="4">
                  <c:v>Vancomicina</c:v>
                </c:pt>
                <c:pt idx="5">
                  <c:v>Ciprofloxacino</c:v>
                </c:pt>
                <c:pt idx="6">
                  <c:v>Claritromicina</c:v>
                </c:pt>
                <c:pt idx="7">
                  <c:v>Tobramicina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  <c:pt idx="0">
                  <c:v>70.3</c:v>
                </c:pt>
                <c:pt idx="1">
                  <c:v>20.8</c:v>
                </c:pt>
                <c:pt idx="2">
                  <c:v>13.9</c:v>
                </c:pt>
                <c:pt idx="3">
                  <c:v>16.5</c:v>
                </c:pt>
                <c:pt idx="4">
                  <c:v>78.900000000000006</c:v>
                </c:pt>
                <c:pt idx="5">
                  <c:v>16.5</c:v>
                </c:pt>
                <c:pt idx="6">
                  <c:v>17.3</c:v>
                </c:pt>
                <c:pt idx="7">
                  <c:v>55.5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69996432"/>
        <c:axId val="-269994800"/>
      </c:barChart>
      <c:catAx>
        <c:axId val="-26999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9994800"/>
        <c:crosses val="autoZero"/>
        <c:auto val="1"/>
        <c:lblAlgn val="ctr"/>
        <c:lblOffset val="100"/>
        <c:noMultiLvlLbl val="0"/>
      </c:catAx>
      <c:valAx>
        <c:axId val="-26999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999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Reserva "DOT" UCIP 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Linezolid</c:v>
                </c:pt>
                <c:pt idx="1">
                  <c:v>Caspofungina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10.6</c:v>
                </c:pt>
                <c:pt idx="1">
                  <c:v>4.9400000000000004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Linezolid</c:v>
                </c:pt>
                <c:pt idx="1">
                  <c:v>Caspofungina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11.3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9426736"/>
        <c:axId val="-89427280"/>
      </c:barChart>
      <c:catAx>
        <c:axId val="-8942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9427280"/>
        <c:crosses val="autoZero"/>
        <c:auto val="1"/>
        <c:lblAlgn val="ctr"/>
        <c:lblOffset val="100"/>
        <c:noMultiLvlLbl val="0"/>
      </c:catAx>
      <c:valAx>
        <c:axId val="-8942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942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Vigilancia "DOT" Oncología 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1"/>
                <c:pt idx="0">
                  <c:v>Cefuroxima</c:v>
                </c:pt>
                <c:pt idx="1">
                  <c:v>Cefotaxima</c:v>
                </c:pt>
                <c:pt idx="2">
                  <c:v>Ceftazidima</c:v>
                </c:pt>
                <c:pt idx="3">
                  <c:v>Ceftriaxona</c:v>
                </c:pt>
                <c:pt idx="4">
                  <c:v>Cefepime</c:v>
                </c:pt>
                <c:pt idx="5">
                  <c:v>Meropenem</c:v>
                </c:pt>
                <c:pt idx="6">
                  <c:v>Vancomicina</c:v>
                </c:pt>
                <c:pt idx="7">
                  <c:v>Tobramicina</c:v>
                </c:pt>
                <c:pt idx="8">
                  <c:v>Ciprofloxacino</c:v>
                </c:pt>
                <c:pt idx="9">
                  <c:v>Claritromicina</c:v>
                </c:pt>
                <c:pt idx="10">
                  <c:v>Anfotericina B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11.99</c:v>
                </c:pt>
                <c:pt idx="1">
                  <c:v>63.36</c:v>
                </c:pt>
                <c:pt idx="2">
                  <c:v>12</c:v>
                </c:pt>
                <c:pt idx="3">
                  <c:v>92.47</c:v>
                </c:pt>
                <c:pt idx="4">
                  <c:v>285.95999999999998</c:v>
                </c:pt>
                <c:pt idx="5">
                  <c:v>83.9</c:v>
                </c:pt>
                <c:pt idx="6">
                  <c:v>145.55000000000001</c:v>
                </c:pt>
                <c:pt idx="7">
                  <c:v>22.26</c:v>
                </c:pt>
                <c:pt idx="8">
                  <c:v>15.41</c:v>
                </c:pt>
                <c:pt idx="9">
                  <c:v>0</c:v>
                </c:pt>
                <c:pt idx="10">
                  <c:v>47.95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Hoja1!$A$2:$A$12</c:f>
              <c:strCache>
                <c:ptCount val="11"/>
                <c:pt idx="0">
                  <c:v>Cefuroxima</c:v>
                </c:pt>
                <c:pt idx="1">
                  <c:v>Cefotaxima</c:v>
                </c:pt>
                <c:pt idx="2">
                  <c:v>Ceftazidima</c:v>
                </c:pt>
                <c:pt idx="3">
                  <c:v>Ceftriaxona</c:v>
                </c:pt>
                <c:pt idx="4">
                  <c:v>Cefepime</c:v>
                </c:pt>
                <c:pt idx="5">
                  <c:v>Meropenem</c:v>
                </c:pt>
                <c:pt idx="6">
                  <c:v>Vancomicina</c:v>
                </c:pt>
                <c:pt idx="7">
                  <c:v>Tobramicina</c:v>
                </c:pt>
                <c:pt idx="8">
                  <c:v>Ciprofloxacino</c:v>
                </c:pt>
                <c:pt idx="9">
                  <c:v>Claritromicina</c:v>
                </c:pt>
                <c:pt idx="10">
                  <c:v>Anfotericina B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  <c:pt idx="0">
                  <c:v>11.8</c:v>
                </c:pt>
                <c:pt idx="1">
                  <c:v>7.06</c:v>
                </c:pt>
                <c:pt idx="2">
                  <c:v>30.6</c:v>
                </c:pt>
                <c:pt idx="3">
                  <c:v>264</c:v>
                </c:pt>
                <c:pt idx="4">
                  <c:v>348</c:v>
                </c:pt>
                <c:pt idx="5">
                  <c:v>63.5</c:v>
                </c:pt>
                <c:pt idx="6">
                  <c:v>252</c:v>
                </c:pt>
                <c:pt idx="7">
                  <c:v>2.35</c:v>
                </c:pt>
                <c:pt idx="8">
                  <c:v>172</c:v>
                </c:pt>
                <c:pt idx="9">
                  <c:v>56.5</c:v>
                </c:pt>
                <c:pt idx="10">
                  <c:v>32.9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42137824"/>
        <c:axId val="-442141632"/>
      </c:barChart>
      <c:catAx>
        <c:axId val="-44213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42141632"/>
        <c:crosses val="autoZero"/>
        <c:auto val="1"/>
        <c:lblAlgn val="ctr"/>
        <c:lblOffset val="100"/>
        <c:noMultiLvlLbl val="0"/>
      </c:catAx>
      <c:valAx>
        <c:axId val="-44214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4213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Reserva "DOT" Oncología 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Linezolid</c:v>
                </c:pt>
                <c:pt idx="1">
                  <c:v>Voriconazol</c:v>
                </c:pt>
                <c:pt idx="2">
                  <c:v>Caspofungina</c:v>
                </c:pt>
                <c:pt idx="3">
                  <c:v>Terbinafina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6.85</c:v>
                </c:pt>
                <c:pt idx="1">
                  <c:v>73.63</c:v>
                </c:pt>
                <c:pt idx="2">
                  <c:v>73.63</c:v>
                </c:pt>
                <c:pt idx="3">
                  <c:v>68.489999999999995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Linezolid</c:v>
                </c:pt>
                <c:pt idx="1">
                  <c:v>Voriconazol</c:v>
                </c:pt>
                <c:pt idx="2">
                  <c:v>Caspofungina</c:v>
                </c:pt>
                <c:pt idx="3">
                  <c:v>Terbinafina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30.6</c:v>
                </c:pt>
                <c:pt idx="2">
                  <c:v>0</c:v>
                </c:pt>
                <c:pt idx="3">
                  <c:v>9.41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42137280"/>
        <c:axId val="-442141088"/>
      </c:barChart>
      <c:catAx>
        <c:axId val="-4421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42141088"/>
        <c:crosses val="autoZero"/>
        <c:auto val="1"/>
        <c:lblAlgn val="ctr"/>
        <c:lblOffset val="100"/>
        <c:noMultiLvlLbl val="0"/>
      </c:catAx>
      <c:valAx>
        <c:axId val="-44214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4213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Acceso "DOT" UCIP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Amikacina</c:v>
                </c:pt>
                <c:pt idx="1">
                  <c:v>TMP</c:v>
                </c:pt>
                <c:pt idx="2">
                  <c:v>Clindamicina</c:v>
                </c:pt>
                <c:pt idx="3">
                  <c:v>Cloranfenicol</c:v>
                </c:pt>
                <c:pt idx="4">
                  <c:v>Fluconazol</c:v>
                </c:pt>
                <c:pt idx="5">
                  <c:v>Metronidazol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21.36</c:v>
                </c:pt>
                <c:pt idx="1">
                  <c:v>76.7</c:v>
                </c:pt>
                <c:pt idx="2">
                  <c:v>35.92</c:v>
                </c:pt>
                <c:pt idx="3">
                  <c:v>58.25</c:v>
                </c:pt>
                <c:pt idx="4">
                  <c:v>71.84</c:v>
                </c:pt>
                <c:pt idx="5">
                  <c:v>41.75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Amikacina</c:v>
                </c:pt>
                <c:pt idx="1">
                  <c:v>TMP</c:v>
                </c:pt>
                <c:pt idx="2">
                  <c:v>Clindamicina</c:v>
                </c:pt>
                <c:pt idx="3">
                  <c:v>Cloranfenicol</c:v>
                </c:pt>
                <c:pt idx="4">
                  <c:v>Fluconazol</c:v>
                </c:pt>
                <c:pt idx="5">
                  <c:v>Metronidazol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195</c:v>
                </c:pt>
                <c:pt idx="1">
                  <c:v>166</c:v>
                </c:pt>
                <c:pt idx="2">
                  <c:v>15</c:v>
                </c:pt>
                <c:pt idx="3">
                  <c:v>15</c:v>
                </c:pt>
                <c:pt idx="4">
                  <c:v>148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42139456"/>
        <c:axId val="-442138912"/>
      </c:barChart>
      <c:catAx>
        <c:axId val="-44213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42138912"/>
        <c:crosses val="autoZero"/>
        <c:auto val="1"/>
        <c:lblAlgn val="ctr"/>
        <c:lblOffset val="100"/>
        <c:noMultiLvlLbl val="0"/>
      </c:catAx>
      <c:valAx>
        <c:axId val="-44213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4213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Vigilancia "DOT" UCIP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Piperacilina</c:v>
                </c:pt>
                <c:pt idx="1">
                  <c:v>Ceftazidima</c:v>
                </c:pt>
                <c:pt idx="2">
                  <c:v>Cefotaxima</c:v>
                </c:pt>
                <c:pt idx="3">
                  <c:v>Ceftriaxona</c:v>
                </c:pt>
                <c:pt idx="4">
                  <c:v>Cefepime</c:v>
                </c:pt>
                <c:pt idx="5">
                  <c:v>Meropenem</c:v>
                </c:pt>
                <c:pt idx="6">
                  <c:v>Vancomicina</c:v>
                </c:pt>
                <c:pt idx="7">
                  <c:v>Fosfomicina</c:v>
                </c:pt>
                <c:pt idx="8">
                  <c:v>Claritromicina</c:v>
                </c:pt>
                <c:pt idx="9">
                  <c:v>Ciprofloxacino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33</c:v>
                </c:pt>
                <c:pt idx="1">
                  <c:v>16.5</c:v>
                </c:pt>
                <c:pt idx="2">
                  <c:v>33</c:v>
                </c:pt>
                <c:pt idx="3">
                  <c:v>241.75</c:v>
                </c:pt>
                <c:pt idx="4">
                  <c:v>178.64</c:v>
                </c:pt>
                <c:pt idx="5">
                  <c:v>238.83</c:v>
                </c:pt>
                <c:pt idx="6">
                  <c:v>262.14</c:v>
                </c:pt>
                <c:pt idx="7">
                  <c:v>0</c:v>
                </c:pt>
                <c:pt idx="8">
                  <c:v>0</c:v>
                </c:pt>
                <c:pt idx="9">
                  <c:v>12.62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Piperacilina</c:v>
                </c:pt>
                <c:pt idx="1">
                  <c:v>Ceftazidima</c:v>
                </c:pt>
                <c:pt idx="2">
                  <c:v>Cefotaxima</c:v>
                </c:pt>
                <c:pt idx="3">
                  <c:v>Ceftriaxona</c:v>
                </c:pt>
                <c:pt idx="4">
                  <c:v>Cefepime</c:v>
                </c:pt>
                <c:pt idx="5">
                  <c:v>Meropenem</c:v>
                </c:pt>
                <c:pt idx="6">
                  <c:v>Vancomicina</c:v>
                </c:pt>
                <c:pt idx="7">
                  <c:v>Fosfomicina</c:v>
                </c:pt>
                <c:pt idx="8">
                  <c:v>Claritromicina</c:v>
                </c:pt>
                <c:pt idx="9">
                  <c:v>Ciprofloxacino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20</c:v>
                </c:pt>
                <c:pt idx="1">
                  <c:v>73.8</c:v>
                </c:pt>
                <c:pt idx="2">
                  <c:v>3.75</c:v>
                </c:pt>
                <c:pt idx="3">
                  <c:v>225</c:v>
                </c:pt>
                <c:pt idx="4">
                  <c:v>208</c:v>
                </c:pt>
                <c:pt idx="5">
                  <c:v>335</c:v>
                </c:pt>
                <c:pt idx="6">
                  <c:v>324</c:v>
                </c:pt>
                <c:pt idx="7">
                  <c:v>5</c:v>
                </c:pt>
                <c:pt idx="8">
                  <c:v>78.8</c:v>
                </c:pt>
                <c:pt idx="9">
                  <c:v>88.8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3884432"/>
        <c:axId val="-93885520"/>
      </c:barChart>
      <c:catAx>
        <c:axId val="-9388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5520"/>
        <c:crosses val="autoZero"/>
        <c:auto val="1"/>
        <c:lblAlgn val="ctr"/>
        <c:lblOffset val="100"/>
        <c:noMultiLvlLbl val="0"/>
      </c:catAx>
      <c:valAx>
        <c:axId val="-9388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Reserva "DOT" UCIP 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Linezolid</c:v>
                </c:pt>
                <c:pt idx="1">
                  <c:v>Colistina</c:v>
                </c:pt>
                <c:pt idx="2">
                  <c:v>Caspofungina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53.4</c:v>
                </c:pt>
                <c:pt idx="1">
                  <c:v>2.91</c:v>
                </c:pt>
                <c:pt idx="2">
                  <c:v>13.59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Linezolid</c:v>
                </c:pt>
                <c:pt idx="1">
                  <c:v>Colistina</c:v>
                </c:pt>
                <c:pt idx="2">
                  <c:v>Caspofungina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16.3</c:v>
                </c:pt>
                <c:pt idx="1">
                  <c:v>53.8</c:v>
                </c:pt>
                <c:pt idx="2">
                  <c:v>33.799999999999997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3881168"/>
        <c:axId val="-93883344"/>
      </c:barChart>
      <c:catAx>
        <c:axId val="-9388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3344"/>
        <c:crosses val="autoZero"/>
        <c:auto val="1"/>
        <c:lblAlgn val="ctr"/>
        <c:lblOffset val="100"/>
        <c:noMultiLvlLbl val="0"/>
      </c:catAx>
      <c:valAx>
        <c:axId val="-9388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Acceso "DOT" UCIN (Enero- Abril)</a:t>
            </a:r>
            <a:endParaRPr lang="es-MX"/>
          </a:p>
        </c:rich>
      </c:tx>
      <c:layout>
        <c:manualLayout>
          <c:xMode val="edge"/>
          <c:yMode val="edge"/>
          <c:x val="0.15475102070574515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Penicilina G</c:v>
                </c:pt>
                <c:pt idx="1">
                  <c:v>TMP</c:v>
                </c:pt>
                <c:pt idx="2">
                  <c:v>Ampicilina</c:v>
                </c:pt>
                <c:pt idx="3">
                  <c:v>Amikacina</c:v>
                </c:pt>
                <c:pt idx="4">
                  <c:v>Gentamicina</c:v>
                </c:pt>
                <c:pt idx="5">
                  <c:v>Cloranfenicol</c:v>
                </c:pt>
                <c:pt idx="6">
                  <c:v>Mupirocina</c:v>
                </c:pt>
                <c:pt idx="7">
                  <c:v>Fluconazol</c:v>
                </c:pt>
                <c:pt idx="8">
                  <c:v>Metronidazol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16.34</c:v>
                </c:pt>
                <c:pt idx="1">
                  <c:v>23.96</c:v>
                </c:pt>
                <c:pt idx="2">
                  <c:v>179.77</c:v>
                </c:pt>
                <c:pt idx="3">
                  <c:v>20.43</c:v>
                </c:pt>
                <c:pt idx="4">
                  <c:v>218.08</c:v>
                </c:pt>
                <c:pt idx="5">
                  <c:v>16.850000000000001</c:v>
                </c:pt>
                <c:pt idx="6">
                  <c:v>2.5499999999999998</c:v>
                </c:pt>
                <c:pt idx="7">
                  <c:v>133.81</c:v>
                </c:pt>
                <c:pt idx="8">
                  <c:v>21.96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Penicilina G</c:v>
                </c:pt>
                <c:pt idx="1">
                  <c:v>TMP</c:v>
                </c:pt>
                <c:pt idx="2">
                  <c:v>Ampicilina</c:v>
                </c:pt>
                <c:pt idx="3">
                  <c:v>Amikacina</c:v>
                </c:pt>
                <c:pt idx="4">
                  <c:v>Gentamicina</c:v>
                </c:pt>
                <c:pt idx="5">
                  <c:v>Cloranfenicol</c:v>
                </c:pt>
                <c:pt idx="6">
                  <c:v>Mupirocina</c:v>
                </c:pt>
                <c:pt idx="7">
                  <c:v>Fluconazol</c:v>
                </c:pt>
                <c:pt idx="8">
                  <c:v>Metronidazol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49.8</c:v>
                </c:pt>
                <c:pt idx="1">
                  <c:v>13.2</c:v>
                </c:pt>
                <c:pt idx="2">
                  <c:v>204</c:v>
                </c:pt>
                <c:pt idx="3">
                  <c:v>64.599999999999994</c:v>
                </c:pt>
                <c:pt idx="4">
                  <c:v>200</c:v>
                </c:pt>
                <c:pt idx="5">
                  <c:v>23.9</c:v>
                </c:pt>
                <c:pt idx="6">
                  <c:v>1.53</c:v>
                </c:pt>
                <c:pt idx="7">
                  <c:v>49.8</c:v>
                </c:pt>
                <c:pt idx="8">
                  <c:v>9.66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3882800"/>
        <c:axId val="-93887152"/>
      </c:barChart>
      <c:catAx>
        <c:axId val="-9388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7152"/>
        <c:crosses val="autoZero"/>
        <c:auto val="1"/>
        <c:lblAlgn val="ctr"/>
        <c:lblOffset val="100"/>
        <c:noMultiLvlLbl val="0"/>
      </c:catAx>
      <c:valAx>
        <c:axId val="-9388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Vigilancia "DOT" UCIN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Cefotaxima</c:v>
                </c:pt>
                <c:pt idx="1">
                  <c:v>Ceftriaxona</c:v>
                </c:pt>
                <c:pt idx="2">
                  <c:v>Ceftazidima</c:v>
                </c:pt>
                <c:pt idx="3">
                  <c:v>Cefepime</c:v>
                </c:pt>
                <c:pt idx="4">
                  <c:v>Meropenem</c:v>
                </c:pt>
                <c:pt idx="5">
                  <c:v>Vancomicina</c:v>
                </c:pt>
                <c:pt idx="6">
                  <c:v>Ciprofloxacino</c:v>
                </c:pt>
                <c:pt idx="7">
                  <c:v>Claritromicina</c:v>
                </c:pt>
                <c:pt idx="8">
                  <c:v>Tobramicina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123.08</c:v>
                </c:pt>
                <c:pt idx="1">
                  <c:v>7.15</c:v>
                </c:pt>
                <c:pt idx="2">
                  <c:v>37.79</c:v>
                </c:pt>
                <c:pt idx="3">
                  <c:v>60.78</c:v>
                </c:pt>
                <c:pt idx="4">
                  <c:v>140.96</c:v>
                </c:pt>
                <c:pt idx="5">
                  <c:v>261.49</c:v>
                </c:pt>
                <c:pt idx="6">
                  <c:v>8.68</c:v>
                </c:pt>
                <c:pt idx="7">
                  <c:v>6.64</c:v>
                </c:pt>
                <c:pt idx="8">
                  <c:v>27.58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Cefotaxima</c:v>
                </c:pt>
                <c:pt idx="1">
                  <c:v>Ceftriaxona</c:v>
                </c:pt>
                <c:pt idx="2">
                  <c:v>Ceftazidima</c:v>
                </c:pt>
                <c:pt idx="3">
                  <c:v>Cefepime</c:v>
                </c:pt>
                <c:pt idx="4">
                  <c:v>Meropenem</c:v>
                </c:pt>
                <c:pt idx="5">
                  <c:v>Vancomicina</c:v>
                </c:pt>
                <c:pt idx="6">
                  <c:v>Ciprofloxacino</c:v>
                </c:pt>
                <c:pt idx="7">
                  <c:v>Claritromicina</c:v>
                </c:pt>
                <c:pt idx="8">
                  <c:v>Tobramicina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115</c:v>
                </c:pt>
                <c:pt idx="1">
                  <c:v>4.58</c:v>
                </c:pt>
                <c:pt idx="2">
                  <c:v>3.05</c:v>
                </c:pt>
                <c:pt idx="3">
                  <c:v>44.7</c:v>
                </c:pt>
                <c:pt idx="4">
                  <c:v>132</c:v>
                </c:pt>
                <c:pt idx="5">
                  <c:v>225</c:v>
                </c:pt>
                <c:pt idx="6">
                  <c:v>10.199999999999999</c:v>
                </c:pt>
                <c:pt idx="7">
                  <c:v>42.7</c:v>
                </c:pt>
                <c:pt idx="8">
                  <c:v>64.599999999999994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3886064"/>
        <c:axId val="-93884976"/>
      </c:barChart>
      <c:catAx>
        <c:axId val="-9388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4976"/>
        <c:crosses val="autoZero"/>
        <c:auto val="1"/>
        <c:lblAlgn val="ctr"/>
        <c:lblOffset val="100"/>
        <c:noMultiLvlLbl val="0"/>
      </c:catAx>
      <c:valAx>
        <c:axId val="-9388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88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Antimicrobianos</a:t>
            </a:r>
            <a:r>
              <a:rPr lang="es-MX" baseline="0"/>
              <a:t> de Reserva "DOT" UCIP  (Enero- 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Linezolid</c:v>
                </c:pt>
                <c:pt idx="1">
                  <c:v>Colistina</c:v>
                </c:pt>
                <c:pt idx="2">
                  <c:v>Caspofungina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14.3</c:v>
                </c:pt>
                <c:pt idx="1">
                  <c:v>5.62</c:v>
                </c:pt>
                <c:pt idx="2">
                  <c:v>2.5499999999999998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Linezolid</c:v>
                </c:pt>
                <c:pt idx="1">
                  <c:v>Colistina</c:v>
                </c:pt>
                <c:pt idx="2">
                  <c:v>Caspofungina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6.61</c:v>
                </c:pt>
                <c:pt idx="1">
                  <c:v>0</c:v>
                </c:pt>
                <c:pt idx="2">
                  <c:v>3.56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70000240"/>
        <c:axId val="-269995344"/>
      </c:barChart>
      <c:catAx>
        <c:axId val="-27000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69995344"/>
        <c:crosses val="autoZero"/>
        <c:auto val="1"/>
        <c:lblAlgn val="ctr"/>
        <c:lblOffset val="100"/>
        <c:noMultiLvlLbl val="0"/>
      </c:catAx>
      <c:valAx>
        <c:axId val="-26999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7000024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828D-79DF-462A-8DA0-BD5D713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16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Días de Terapia Antimicrobiana (dot) del hospital infantil del estado de sonora (enero-abril 2025)</vt:lpstr>
    </vt:vector>
  </TitlesOfParts>
  <Company>Q.B.C. Elia Hernandez Zapata 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Días de Terapia Antimicrobiana (dot) del hospital infantil del estado de sonora (enero-abril 2025)</dc:title>
  <dc:subject>Oncología Pediátrica, Unidad de Cuidados Intensivos Pediátricos (UCIP), Unidad de Cuidados Intensivos Neonatales (UCIN) y Terapia Intermedia Neonatal (UTIN) </dc:subject>
  <dc:creator>USUARIO</dc:creator>
  <cp:keywords/>
  <dc:description/>
  <cp:lastModifiedBy>USUARIO</cp:lastModifiedBy>
  <cp:revision>54</cp:revision>
  <dcterms:created xsi:type="dcterms:W3CDTF">2025-07-02T17:34:00Z</dcterms:created>
  <dcterms:modified xsi:type="dcterms:W3CDTF">2025-07-10T01:04:00Z</dcterms:modified>
  <cp:category>Encargada del Procesamiento y Monitoreo de datos del Subcomité para la optimización del Uso de Antimicrobianos </cp:category>
</cp:coreProperties>
</file>